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Ind w:w="-1692" w:type="dxa"/>
        <w:tblCellMar>
          <w:top w:w="15" w:type="dxa"/>
          <w:left w:w="15" w:type="dxa"/>
          <w:bottom w:w="15" w:type="dxa"/>
          <w:right w:w="15" w:type="dxa"/>
        </w:tblCellMar>
        <w:tblLook w:val="04A0" w:firstRow="1" w:lastRow="0" w:firstColumn="1" w:lastColumn="0" w:noHBand="0" w:noVBand="1"/>
      </w:tblPr>
      <w:tblGrid>
        <w:gridCol w:w="5471"/>
        <w:gridCol w:w="3974"/>
      </w:tblGrid>
      <w:tr w:rsidR="005B2F5F" w:rsidRPr="0017206D" w:rsidTr="00F14F81">
        <w:trPr>
          <w:jc w:val="center"/>
        </w:trPr>
        <w:tc>
          <w:tcPr>
            <w:tcW w:w="5000" w:type="pct"/>
            <w:gridSpan w:val="2"/>
            <w:tcBorders>
              <w:top w:val="nil"/>
              <w:left w:val="nil"/>
              <w:bottom w:val="nil"/>
              <w:right w:val="nil"/>
            </w:tcBorders>
            <w:tcMar>
              <w:top w:w="15" w:type="dxa"/>
              <w:left w:w="45" w:type="dxa"/>
              <w:bottom w:w="15" w:type="dxa"/>
              <w:right w:w="45" w:type="dxa"/>
            </w:tcMar>
            <w:hideMark/>
          </w:tcPr>
          <w:p w:rsidR="005B2F5F" w:rsidRPr="0017206D" w:rsidRDefault="005B2F5F" w:rsidP="00F14F81">
            <w:pPr>
              <w:spacing w:after="0"/>
              <w:jc w:val="center"/>
              <w:rPr>
                <w:rFonts w:ascii="Times New Roman" w:eastAsia="Calibri" w:hAnsi="Times New Roman" w:cs="Times New Roman"/>
                <w:b/>
                <w:sz w:val="24"/>
                <w:szCs w:val="24"/>
              </w:rPr>
            </w:pPr>
          </w:p>
          <w:p w:rsidR="005B2F5F" w:rsidRDefault="005B2F5F" w:rsidP="00F14F81">
            <w:pPr>
              <w:spacing w:after="0"/>
              <w:jc w:val="center"/>
              <w:rPr>
                <w:rFonts w:ascii="Times New Roman" w:eastAsia="Calibri" w:hAnsi="Times New Roman" w:cs="Times New Roman"/>
                <w:b/>
                <w:sz w:val="24"/>
                <w:szCs w:val="24"/>
              </w:rPr>
            </w:pPr>
          </w:p>
          <w:p w:rsidR="005B2F5F" w:rsidRPr="0017206D" w:rsidRDefault="005B2F5F" w:rsidP="00F14F81">
            <w:pPr>
              <w:spacing w:after="0"/>
              <w:jc w:val="center"/>
              <w:rPr>
                <w:rFonts w:ascii="Times New Roman" w:eastAsia="MS Mincho" w:hAnsi="Times New Roman" w:cs="Times New Roman"/>
                <w:b/>
                <w:sz w:val="24"/>
                <w:szCs w:val="24"/>
                <w:lang w:eastAsia="ja-JP"/>
              </w:rPr>
            </w:pPr>
            <w:r w:rsidRPr="0017206D">
              <w:rPr>
                <w:rFonts w:ascii="Times New Roman" w:eastAsia="Calibri" w:hAnsi="Times New Roman" w:cs="Times New Roman"/>
                <w:b/>
                <w:sz w:val="24"/>
                <w:szCs w:val="24"/>
              </w:rPr>
              <w:t>Analiza impactului de reglementare (AIR</w:t>
            </w:r>
            <w:r w:rsidRPr="0017206D">
              <w:rPr>
                <w:rFonts w:ascii="Times New Roman" w:eastAsia="MS Mincho" w:hAnsi="Times New Roman" w:cs="Times New Roman"/>
                <w:b/>
                <w:sz w:val="24"/>
                <w:szCs w:val="24"/>
                <w:lang w:eastAsia="ja-JP"/>
              </w:rPr>
              <w:t>),</w:t>
            </w:r>
          </w:p>
          <w:p w:rsidR="005B2F5F" w:rsidRPr="0068786C" w:rsidRDefault="005B2F5F" w:rsidP="00F14F81">
            <w:pPr>
              <w:spacing w:after="0"/>
              <w:jc w:val="center"/>
              <w:rPr>
                <w:rFonts w:ascii="Times New Roman" w:eastAsia="Calibri" w:hAnsi="Times New Roman" w:cs="Times New Roman"/>
                <w:bCs/>
                <w:sz w:val="24"/>
                <w:szCs w:val="24"/>
                <w:lang w:eastAsia="ja-JP"/>
              </w:rPr>
            </w:pPr>
            <w:r w:rsidRPr="0068786C">
              <w:rPr>
                <w:rFonts w:ascii="Times New Roman" w:eastAsia="Calibri" w:hAnsi="Times New Roman" w:cs="Times New Roman"/>
                <w:sz w:val="24"/>
                <w:szCs w:val="24"/>
              </w:rPr>
              <w:t xml:space="preserve">asupra </w:t>
            </w:r>
            <w:r w:rsidRPr="0068786C">
              <w:rPr>
                <w:rFonts w:ascii="Times New Roman" w:eastAsia="Calibri" w:hAnsi="Times New Roman" w:cs="Times New Roman"/>
                <w:bCs/>
                <w:sz w:val="24"/>
                <w:szCs w:val="24"/>
                <w:lang w:eastAsia="ja-JP"/>
              </w:rPr>
              <w:t>proiectului de hotărâre a Guvernului</w:t>
            </w:r>
          </w:p>
          <w:p w:rsidR="005B2F5F" w:rsidRPr="0068786C" w:rsidRDefault="005B2F5F" w:rsidP="00F14F81">
            <w:pPr>
              <w:spacing w:after="0"/>
              <w:jc w:val="center"/>
              <w:rPr>
                <w:rFonts w:ascii="Times New Roman" w:hAnsi="Times New Roman" w:cs="Times New Roman"/>
                <w:bCs/>
                <w:sz w:val="24"/>
                <w:szCs w:val="24"/>
                <w:shd w:val="clear" w:color="auto" w:fill="FFFFFF"/>
              </w:rPr>
            </w:pPr>
            <w:r w:rsidRPr="0068786C">
              <w:rPr>
                <w:rFonts w:ascii="Times New Roman" w:eastAsia="Calibri" w:hAnsi="Times New Roman" w:cs="Times New Roman"/>
                <w:bCs/>
                <w:sz w:val="24"/>
                <w:szCs w:val="24"/>
                <w:lang w:eastAsia="ja-JP"/>
              </w:rPr>
              <w:t xml:space="preserve"> </w:t>
            </w:r>
            <w:r w:rsidRPr="0068786C">
              <w:rPr>
                <w:rFonts w:ascii="Times New Roman" w:hAnsi="Times New Roman" w:cs="Times New Roman"/>
                <w:bCs/>
                <w:sz w:val="24"/>
                <w:szCs w:val="24"/>
                <w:shd w:val="clear" w:color="auto" w:fill="FFFFFF"/>
              </w:rPr>
              <w:t>cu privire</w:t>
            </w:r>
            <w:r w:rsidRPr="0068786C">
              <w:rPr>
                <w:rFonts w:ascii="Times New Roman" w:hAnsi="Times New Roman" w:cs="Times New Roman"/>
                <w:sz w:val="24"/>
                <w:szCs w:val="24"/>
              </w:rPr>
              <w:t xml:space="preserve"> </w:t>
            </w:r>
            <w:r w:rsidRPr="0068786C">
              <w:rPr>
                <w:rFonts w:ascii="Times New Roman" w:hAnsi="Times New Roman" w:cs="Times New Roman"/>
                <w:bCs/>
                <w:sz w:val="24"/>
                <w:szCs w:val="24"/>
                <w:shd w:val="clear" w:color="auto" w:fill="FFFFFF"/>
              </w:rPr>
              <w:t>la Instituția Publică ”Centrul de Stat pentru Atestarea şi Omologarea Produselor de Uz Fitosanitar şi a Fertilizanţilor”</w:t>
            </w:r>
          </w:p>
          <w:p w:rsidR="005B2F5F" w:rsidRPr="0017206D" w:rsidRDefault="005B2F5F" w:rsidP="00F14F81">
            <w:pPr>
              <w:spacing w:after="0"/>
              <w:jc w:val="center"/>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w:t>
            </w:r>
          </w:p>
        </w:tc>
      </w:tr>
      <w:tr w:rsidR="005B2F5F" w:rsidRPr="0017206D" w:rsidTr="00F14F81">
        <w:trPr>
          <w:jc w:val="center"/>
        </w:trPr>
        <w:tc>
          <w:tcPr>
            <w:tcW w:w="28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 xml:space="preserve">Titlul analizei impactului </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(poate conţine titlul propunerii de act normativ):</w:t>
            </w:r>
          </w:p>
        </w:tc>
        <w:tc>
          <w:tcPr>
            <w:tcW w:w="21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Analiza impactului de reglementare (AIR) asupra proiectului de hotărâre a Guvernului cu privire la Instituția Publică ”Centrul de Stat pentru Atestarea şi Omologarea Produselor de Uz Fitosanitar şi a Fertilizanţilor”</w:t>
            </w:r>
          </w:p>
        </w:tc>
      </w:tr>
      <w:tr w:rsidR="005B2F5F" w:rsidRPr="0017206D" w:rsidTr="00F14F81">
        <w:trPr>
          <w:jc w:val="center"/>
        </w:trPr>
        <w:tc>
          <w:tcPr>
            <w:tcW w:w="28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Data:</w:t>
            </w:r>
          </w:p>
        </w:tc>
        <w:tc>
          <w:tcPr>
            <w:tcW w:w="21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18.05.2020</w:t>
            </w:r>
          </w:p>
        </w:tc>
      </w:tr>
      <w:tr w:rsidR="005B2F5F" w:rsidRPr="0017206D" w:rsidTr="00F14F81">
        <w:trPr>
          <w:jc w:val="center"/>
        </w:trPr>
        <w:tc>
          <w:tcPr>
            <w:tcW w:w="28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Autoritatea administraţiei publice (autor):</w:t>
            </w:r>
          </w:p>
        </w:tc>
        <w:tc>
          <w:tcPr>
            <w:tcW w:w="21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Ministerul Agriculturii, Dezvoltării Regionale şi Mediului</w:t>
            </w:r>
          </w:p>
        </w:tc>
      </w:tr>
      <w:tr w:rsidR="005B2F5F" w:rsidRPr="0017206D" w:rsidTr="00F14F81">
        <w:trPr>
          <w:jc w:val="center"/>
        </w:trPr>
        <w:tc>
          <w:tcPr>
            <w:tcW w:w="28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Subdiviziunea:</w:t>
            </w:r>
          </w:p>
        </w:tc>
        <w:tc>
          <w:tcPr>
            <w:tcW w:w="21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Calibri" w:hAnsi="Times New Roman" w:cs="Times New Roman"/>
                <w:sz w:val="24"/>
                <w:szCs w:val="24"/>
                <w:lang w:eastAsia="ja-JP"/>
              </w:rPr>
            </w:pPr>
            <w:r w:rsidRPr="0017206D">
              <w:rPr>
                <w:rFonts w:ascii="Times New Roman" w:eastAsia="Calibri" w:hAnsi="Times New Roman" w:cs="Times New Roman"/>
                <w:sz w:val="24"/>
                <w:szCs w:val="24"/>
                <w:lang w:eastAsia="ja-JP"/>
              </w:rPr>
              <w:t>Direcţia politici în domeniul protecţiei plantelor şi siguranţa alimentelor de origine vegetală</w:t>
            </w:r>
          </w:p>
        </w:tc>
      </w:tr>
      <w:tr w:rsidR="005B2F5F" w:rsidRPr="0017206D" w:rsidTr="00F14F81">
        <w:trPr>
          <w:jc w:val="center"/>
        </w:trPr>
        <w:tc>
          <w:tcPr>
            <w:tcW w:w="28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Persoana responsabilă şi datele de contact:</w:t>
            </w:r>
          </w:p>
        </w:tc>
        <w:tc>
          <w:tcPr>
            <w:tcW w:w="2104"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Calibri" w:hAnsi="Times New Roman" w:cs="Times New Roman"/>
                <w:sz w:val="24"/>
                <w:szCs w:val="24"/>
                <w:lang w:eastAsia="ja-JP"/>
              </w:rPr>
            </w:pPr>
            <w:r w:rsidRPr="0017206D">
              <w:rPr>
                <w:rFonts w:ascii="Times New Roman" w:eastAsia="Calibri" w:hAnsi="Times New Roman" w:cs="Times New Roman"/>
                <w:sz w:val="24"/>
                <w:szCs w:val="24"/>
                <w:lang w:eastAsia="ja-JP"/>
              </w:rPr>
              <w:t xml:space="preserve">Veronica </w:t>
            </w:r>
            <w:proofErr w:type="spellStart"/>
            <w:r w:rsidRPr="0017206D">
              <w:rPr>
                <w:rFonts w:ascii="Times New Roman" w:eastAsia="Calibri" w:hAnsi="Times New Roman" w:cs="Times New Roman"/>
                <w:sz w:val="24"/>
                <w:szCs w:val="24"/>
                <w:lang w:eastAsia="ja-JP"/>
              </w:rPr>
              <w:t>Tertea</w:t>
            </w:r>
            <w:proofErr w:type="spellEnd"/>
            <w:r w:rsidRPr="0017206D">
              <w:rPr>
                <w:rFonts w:ascii="Times New Roman" w:eastAsia="Calibri" w:hAnsi="Times New Roman" w:cs="Times New Roman"/>
                <w:sz w:val="24"/>
                <w:szCs w:val="24"/>
                <w:lang w:eastAsia="ja-JP"/>
              </w:rPr>
              <w:t xml:space="preserve">, tel. 0 22 204523; </w:t>
            </w:r>
          </w:p>
          <w:p w:rsidR="005B2F5F" w:rsidRPr="0017206D" w:rsidRDefault="005B2F5F" w:rsidP="00F14F81">
            <w:pPr>
              <w:spacing w:after="0"/>
              <w:jc w:val="both"/>
              <w:rPr>
                <w:rFonts w:ascii="Times New Roman" w:eastAsia="Calibri" w:hAnsi="Times New Roman" w:cs="Times New Roman"/>
                <w:sz w:val="24"/>
                <w:szCs w:val="24"/>
                <w:lang w:eastAsia="ja-JP"/>
              </w:rPr>
            </w:pPr>
            <w:r w:rsidRPr="0017206D">
              <w:rPr>
                <w:rFonts w:ascii="Times New Roman" w:eastAsia="Calibri" w:hAnsi="Times New Roman" w:cs="Times New Roman"/>
                <w:sz w:val="24"/>
                <w:szCs w:val="24"/>
                <w:lang w:eastAsia="ja-JP"/>
              </w:rPr>
              <w:t xml:space="preserve">Olga </w:t>
            </w:r>
            <w:proofErr w:type="spellStart"/>
            <w:r w:rsidRPr="0017206D">
              <w:rPr>
                <w:rFonts w:ascii="Times New Roman" w:eastAsia="Calibri" w:hAnsi="Times New Roman" w:cs="Times New Roman"/>
                <w:sz w:val="24"/>
                <w:szCs w:val="24"/>
                <w:lang w:eastAsia="ja-JP"/>
              </w:rPr>
              <w:t>Savencov</w:t>
            </w:r>
            <w:proofErr w:type="spellEnd"/>
            <w:r w:rsidRPr="0017206D">
              <w:rPr>
                <w:rFonts w:ascii="Times New Roman" w:eastAsia="Calibri" w:hAnsi="Times New Roman" w:cs="Times New Roman"/>
                <w:sz w:val="24"/>
                <w:szCs w:val="24"/>
                <w:lang w:eastAsia="ja-JP"/>
              </w:rPr>
              <w:t>, tel. 022 204 545</w:t>
            </w:r>
          </w:p>
          <w:p w:rsidR="005B2F5F" w:rsidRPr="0017206D" w:rsidRDefault="005B2F5F" w:rsidP="005B2F5F">
            <w:pPr>
              <w:spacing w:after="0"/>
              <w:jc w:val="both"/>
              <w:rPr>
                <w:rFonts w:ascii="Times New Roman" w:eastAsia="Calibri" w:hAnsi="Times New Roman" w:cs="Times New Roman"/>
                <w:sz w:val="24"/>
                <w:szCs w:val="24"/>
                <w:lang w:eastAsia="ja-JP"/>
              </w:rPr>
            </w:pPr>
            <w:r w:rsidRPr="0017206D">
              <w:rPr>
                <w:rFonts w:ascii="Times New Roman" w:eastAsia="Calibri" w:hAnsi="Times New Roman" w:cs="Times New Roman"/>
                <w:sz w:val="24"/>
                <w:szCs w:val="24"/>
                <w:lang w:eastAsia="ja-JP"/>
              </w:rPr>
              <w:t xml:space="preserve">email: </w:t>
            </w:r>
            <w:hyperlink r:id="rId6" w:history="1">
              <w:r w:rsidRPr="0017206D">
                <w:rPr>
                  <w:rFonts w:ascii="Times New Roman" w:eastAsia="Calibri" w:hAnsi="Times New Roman" w:cs="Times New Roman"/>
                  <w:sz w:val="24"/>
                  <w:szCs w:val="24"/>
                  <w:u w:val="single"/>
                  <w:lang w:eastAsia="ja-JP"/>
                </w:rPr>
                <w:t>veronica.tertea@madrm.gov.md</w:t>
              </w:r>
            </w:hyperlink>
            <w:r w:rsidRPr="0017206D">
              <w:rPr>
                <w:rFonts w:ascii="Times New Roman" w:eastAsia="Calibri" w:hAnsi="Times New Roman" w:cs="Times New Roman"/>
                <w:sz w:val="24"/>
                <w:szCs w:val="24"/>
                <w:lang w:eastAsia="ja-JP"/>
              </w:rPr>
              <w:t xml:space="preserve">; </w:t>
            </w:r>
            <w:hyperlink r:id="rId7" w:history="1">
              <w:r w:rsidRPr="0017206D">
                <w:rPr>
                  <w:rFonts w:ascii="Times New Roman" w:eastAsia="Calibri" w:hAnsi="Times New Roman" w:cs="Times New Roman"/>
                  <w:sz w:val="24"/>
                  <w:szCs w:val="24"/>
                  <w:u w:val="single"/>
                  <w:lang w:eastAsia="ja-JP"/>
                </w:rPr>
                <w:t>olga.savencov@madrm.gov.md</w:t>
              </w:r>
            </w:hyperlink>
            <w:r w:rsidRPr="0017206D">
              <w:rPr>
                <w:rFonts w:ascii="Times New Roman" w:eastAsia="Calibri" w:hAnsi="Times New Roman" w:cs="Times New Roman"/>
                <w:sz w:val="24"/>
                <w:szCs w:val="24"/>
                <w:lang w:eastAsia="ja-JP"/>
              </w:rPr>
              <w:t>;</w:t>
            </w:r>
          </w:p>
        </w:tc>
      </w:tr>
    </w:tbl>
    <w:p w:rsidR="005B2F5F" w:rsidRPr="0017206D" w:rsidRDefault="005B2F5F" w:rsidP="005B2F5F">
      <w:pPr>
        <w:spacing w:after="0"/>
        <w:jc w:val="both"/>
        <w:rPr>
          <w:rFonts w:ascii="Times New Roman" w:eastAsia="Times New Roman" w:hAnsi="Times New Roman" w:cs="Times New Roman"/>
          <w:vanish/>
          <w:sz w:val="24"/>
          <w:szCs w:val="24"/>
          <w:lang w:eastAsia="ru-RU"/>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3485"/>
        <w:gridCol w:w="1041"/>
        <w:gridCol w:w="2230"/>
        <w:gridCol w:w="491"/>
        <w:gridCol w:w="491"/>
        <w:gridCol w:w="1707"/>
      </w:tblGrid>
      <w:tr w:rsidR="005B2F5F" w:rsidRPr="0017206D" w:rsidTr="00F14F81">
        <w:trPr>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w:t>
            </w:r>
            <w:r w:rsidRPr="0017206D">
              <w:rPr>
                <w:rFonts w:ascii="Times New Roman" w:eastAsia="Times New Roman" w:hAnsi="Times New Roman" w:cs="Times New Roman"/>
                <w:b/>
                <w:bCs/>
                <w:sz w:val="24"/>
                <w:szCs w:val="24"/>
                <w:lang w:eastAsia="ru-RU"/>
              </w:rPr>
              <w:t>Compartimentele analizei impactului</w:t>
            </w: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1. Definirea problemei</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a) Determinaţi clar şi concis problema şi/sau problemele care urmează să fie soluţionate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hAnsi="Times New Roman" w:cs="Times New Roman"/>
                <w:b/>
                <w:bCs/>
                <w:sz w:val="24"/>
                <w:szCs w:val="24"/>
              </w:rPr>
            </w:pPr>
            <w:r w:rsidRPr="0017206D">
              <w:rPr>
                <w:rFonts w:ascii="Times New Roman" w:hAnsi="Times New Roman" w:cs="Times New Roman"/>
                <w:b/>
                <w:bCs/>
                <w:sz w:val="24"/>
                <w:szCs w:val="24"/>
              </w:rPr>
              <w:t>Posibilități diminuate de implementare a politicii statului în domeniul cercetării, testării, experimentării şi omologării de stat a produselor de uz fitosanitar si a fertilizanților.</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 Descrieţi problema, persoanele/entităţile afectate şi cele care contribuie la apariţia problemei, cu justificarea necesităţii schimbării situaţiei curente şi viitoare, în baza dovezilor şi datelor colectate şi examinate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În condițiile articolului 32 al Legii nr. 98/2012 privind administraţia publică centrală de specialitate, care reglementează norme privind instituţiile publice în care ministerul sau altă autoritate administrativă centrală are calitatea de fondator, se propune proiectul de hotărâre a Guvernului cu privire la Instituția Publică ”Centrul de Stat pentru Atestarea şi Omologarea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La nivel național, conform Legii nr. 119/2004 cu privire la produsele de uz fitosanitar și la fertilizanți, implementarea politicii statului în domeniul organizării, coordonării şi controlului activităţilor de </w:t>
            </w:r>
            <w:proofErr w:type="spellStart"/>
            <w:r w:rsidRPr="0017206D">
              <w:rPr>
                <w:rFonts w:ascii="Times New Roman" w:eastAsia="Times New Roman" w:hAnsi="Times New Roman" w:cs="Times New Roman"/>
                <w:sz w:val="24"/>
                <w:szCs w:val="24"/>
                <w:lang w:eastAsia="ru-RU"/>
              </w:rPr>
              <w:t>cercetare-testare-experimentare</w:t>
            </w:r>
            <w:proofErr w:type="spellEnd"/>
            <w:r w:rsidRPr="0017206D">
              <w:rPr>
                <w:rFonts w:ascii="Times New Roman" w:eastAsia="Times New Roman" w:hAnsi="Times New Roman" w:cs="Times New Roman"/>
                <w:sz w:val="24"/>
                <w:szCs w:val="24"/>
                <w:lang w:eastAsia="ru-RU"/>
              </w:rPr>
              <w:t xml:space="preserve"> și omologare, înregistrare a produselor de uz fitosanitar şi a fertilizanţilor este atribuită Întreprinderii de Stat ”Centrul de Stat pentru Atestarea si Omologarea Produselor de Uz Fitosanitar si a Fertilizanților”, întreprindere subordonată Ministerului Agriculturii, Dezvoltării Regionale şi Mediului.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lastRenderedPageBreak/>
              <w:t xml:space="preserve">În speță, misiunea de elaborare și implementare a politicii statului în domeniul activităţilor cu produse de uz fitosanitar şi cu fertilizanţi este reglementată de Legea nr. 119/2004 cu privire la produsele de uz fitosanitar și la fertilizanți și promovată de Guvern prin Ministerul Agriculturii, Dezvoltării Regionale și Mediului.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Prin urmare, conform Legii menționate, responsabilitatea privind:</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organizarea, coordonarea şi controlul activităţilor de </w:t>
            </w:r>
            <w:proofErr w:type="spellStart"/>
            <w:r w:rsidRPr="0017206D">
              <w:rPr>
                <w:rFonts w:ascii="Times New Roman" w:eastAsia="Times New Roman" w:hAnsi="Times New Roman" w:cs="Times New Roman"/>
                <w:sz w:val="24"/>
                <w:szCs w:val="24"/>
                <w:lang w:eastAsia="ru-RU"/>
              </w:rPr>
              <w:t>cercetare-testare-experimentare</w:t>
            </w:r>
            <w:proofErr w:type="spellEnd"/>
            <w:r w:rsidRPr="0017206D">
              <w:rPr>
                <w:rFonts w:ascii="Times New Roman" w:eastAsia="Times New Roman" w:hAnsi="Times New Roman" w:cs="Times New Roman"/>
                <w:sz w:val="24"/>
                <w:szCs w:val="24"/>
                <w:lang w:eastAsia="ru-RU"/>
              </w:rPr>
              <w:t xml:space="preserve"> și omologare, inclusiv prin recunoașterea autorizației;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înregistrarea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asigurarea protecţiei datelor în procesul de omologare a produselor de uz fitosanitar şi a fertilizanţilor, cerințe impuse de actele UE;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aprobarea etichetei de ambalaj a produselor omologate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eliberarea certificatului de omologare a produsului, altele, sunt atribuite Centrului de Stat pentru Atestarea şi Omologarea Produselor de Uz Fitosanitar şi a Fertilizanţilor, structură creată pe lângă Ministerul Agriculturii, Dezvoltării Regionale și Mediului (Hotărârea Guvernului nr. 897/1994).</w:t>
            </w:r>
          </w:p>
          <w:p w:rsidR="005B2F5F" w:rsidRPr="0017206D" w:rsidRDefault="005B2F5F" w:rsidP="00F14F81">
            <w:pPr>
              <w:autoSpaceDE w:val="0"/>
              <w:autoSpaceDN w:val="0"/>
              <w:adjustRightInd w:val="0"/>
              <w:spacing w:after="0"/>
              <w:jc w:val="both"/>
              <w:rPr>
                <w:rFonts w:ascii="Times New Roman" w:hAnsi="Times New Roman" w:cs="Times New Roman"/>
                <w:sz w:val="24"/>
                <w:szCs w:val="24"/>
              </w:rPr>
            </w:pPr>
            <w:r w:rsidRPr="0017206D">
              <w:rPr>
                <w:rFonts w:ascii="Times New Roman" w:hAnsi="Times New Roman" w:cs="Times New Roman"/>
                <w:sz w:val="24"/>
                <w:szCs w:val="24"/>
              </w:rPr>
              <w:t xml:space="preserve">În conformitate cu prevederile Legii nr. 98/2012, menținerea misiunii și a domeniului de competență ale întreprinderii de stat, potențialului instituțional și uman, experienței acumulate pe parcursul a mai mult de 25 de ani de activitate în domeniu, se poate realiza prin reorganizarea întreprinderii de stat și transformarea acesteia în instituție publică, cu menținerea profilului de activitate, axat pe satisfacerea necesităților producătorilor agricoli.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Scopul proiectului propus ține de reglementarea normelor privind reorganizarea prin transformare, a Întreprinderii de Stat ”Centrul de Stat pentru Atestarea și Omologarea Produselor de Uz Fitosanitar și a Fertilizanților în Instituție Publică ”Centrul de Stat pentru Atestarea şi Omologarea Produselor de Uz Fitosanitar şi a Fertilizanţilor”, subordonată Ministerului Agriculturii, Dezvoltării Regionale şi Mediului, cu respectarea prevederilor ce reglementează condițiile constituirii instituții publice.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Conform prevederilor articolului 69, 70 alin. (5) și 85 alin. (1) din Codul civil reorganizarea persoanelor juridice poate avea loc prin transformare, având ca efect schimbarea formei juridice de organizare prin modificarea actelor de constituire în condiţiile legii, drepturile şi obligaţiile persoanei juridice reorganizate, trecând la noua persoană juridică, în conformitate cu actul de transmitere.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Principalele prevederi ale proiectului propus se axează pe reglementarea normelor privind:</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 reorganizarea, prin transformare, a Î.S. Centrul de Stat pentru Atestarea și Omologarea Produselor de Uz Fitosanitar și a Fertilizanților în Instituție Publică ”Centrul de Stat pentru Atestarea şi Omologarea Produselor de Uz Fitosanitar şi a Fertilizanţilor”, cu autonomie financiară, subordonată Ministerului Agriculturii, Dezvoltării Regionale şi Mediului cu scopul implementării politicii de stat în domeniul omologării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2) aprobarea Statutului Instituției Publice ”Centrul de Stat pentru Atestarea şi Omologarea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3) Regulamentului Consiliului Republican Interdepartamental pentru aprobarea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4) operarea modificărilor în 5 Hotărâri ale Guvernului, în vederea separării Î.S. ”Centrul de Stat pentru Atestarea și Omologarea Produselor de Uz Fitosanitar și a Fertilizanților” (Centrul de </w:t>
            </w:r>
            <w:r w:rsidRPr="0017206D">
              <w:rPr>
                <w:rFonts w:ascii="Times New Roman" w:eastAsia="Times New Roman" w:hAnsi="Times New Roman" w:cs="Times New Roman"/>
                <w:sz w:val="24"/>
                <w:szCs w:val="24"/>
                <w:lang w:eastAsia="ru-RU"/>
              </w:rPr>
              <w:lastRenderedPageBreak/>
              <w:t>Stat) de I.P. ”Laboratorul Central Fitosanitar (Laborator), instituție subordonată Agenţiei Naţionale pentru Siguranţa Alimentelor și menținerii Centrului de Stat în subordinea Ministerului, dat fiind că acestea au domenii de activitate diametral opuse și prezintă conflict de interese între funcțiile de implementare și cele de control, precum:</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Laboratorul asigură identificarea organismelor dăunătoare, controlul calităţii materialului semincer şi săditor, identificarea reziduurilor de pesticide în plante şi produsele vegetale, conform Planurilor anuale de control oficial, cu eliberarea rapoartelor de încercări;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Centrul de Stat este responsabil de formarea sortimentului de produse de uz fitosanitar cu risc minim pentru sănătatea umană, mediul ambiant, eficacitate înaltă pentru combaterea organismelor dăunătoare în agricultură și silvicultură și asigurarea experimentării de stat a produselor şi formelor preparative noi din producţia internă şi de import.</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În privința modalității de finanțare a instituției publice noi create, proiectul prevede că Instituția publică va dispune de autonomie financiară, sursele de finanțare constituind veniturile din prestarea serviciilor contra plată precum și alte venituri neinterzise de lege.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Pentru aducerea în concordanță a cadrului normativ în domeniu, cu prevederile art. 7, 8, 10, 10</w:t>
            </w:r>
            <w:bookmarkStart w:id="0" w:name="_GoBack"/>
            <w:r w:rsidRPr="00556CF1">
              <w:rPr>
                <w:rFonts w:ascii="Times New Roman" w:eastAsia="Times New Roman" w:hAnsi="Times New Roman" w:cs="Times New Roman"/>
                <w:sz w:val="24"/>
                <w:szCs w:val="24"/>
                <w:vertAlign w:val="superscript"/>
                <w:lang w:eastAsia="ru-RU"/>
              </w:rPr>
              <w:t>1</w:t>
            </w:r>
            <w:bookmarkEnd w:id="0"/>
            <w:r w:rsidRPr="0017206D">
              <w:rPr>
                <w:rFonts w:ascii="Times New Roman" w:eastAsia="Times New Roman" w:hAnsi="Times New Roman" w:cs="Times New Roman"/>
                <w:sz w:val="24"/>
                <w:szCs w:val="24"/>
                <w:lang w:eastAsia="ru-RU"/>
              </w:rPr>
              <w:t xml:space="preserve"> și 14 din Legea nr. 119/2004 cu privire la produsele de uz fitosanitar și la fertilizanți și art. 3, (4), lit. b) din Legea nr. 100/2017 cu privire la actele normative, urmare a aprobării Hotărârii Guvernului nr. 600/2018 cu privire la organizarea şi funcţionarea Agenţiei Naţionale pentru Siguranţa Alimentelor, prin eliminarea divergențelor de norme, proiectul propus are ca scop operarea modificărilor în următoarele acte normative: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1) Hotărârea Guvernului nr. 1307/2005 cu privire la aprobarea Regulamentului privind atestarea şi omologarea de stat a produselor de uz fitosanitar şi a fertilizanţilor pentru utilizare în agricultură şi silvicultură,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2) Hotărârea Guvernului nr.695/2017 cu privire la organizarea şi funcţionarea Ministerului Agriculturii, Dezvoltării Regionale şi Mediului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3) Hotărârea Guvernului nr. 600/2018 cu privire la organizarea şi funcţionarea Agenţiei Naţionale pentru Siguranţa Alimentelor;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4) Hotărârea Guvernului nr. 1209/2018 cu privire la aprobarea Statutului Instituţiei publice „Laboratorul central fitosanitar”,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5) Hotărârea Guvernului nr. 743/2002 cu privire la salarizarea angajaţilor din unităţile cu autonomie financiară, acte normative care vin în contradicție cu actul normativ cu forță juridica superioară (Legea nr.119/2004 cu privire la produsele de uz fitosanitar și la fertilizanți).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Normele Hotărârilor menționate contravin Legii nr. 119/2004 cu privire la produsele de uz fitosanitar și la fertilizanți, art. 10 al căreia prevede expres că ”Omologarea, inclusiv prin recunoaşterea autorizaţiei, precum şi înregistrarea produselor de uz fitosanitar şi a fertilizanţilor se efectuează de către Centrul de Stat pentru Atestarea şi Omologarea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Este evident că Hotărârea Guvernului nr. 600/2018 vine în contradicție cu prevederile Legii menționate supra și art. 3, (4), lit. b) din Legea nr. 100/2017 prevederile căreia stabilesc expres că proiectul actului normativ întocmit în temeiul unui act normativ de nivel superior nu poate depăşi limitele competenţei instituite prin actul de nivel superior şi nici nu poate contraveni scopului, principiilor şi dispoziţiilor acestuia.</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Subordonarea Centrului de stat Agenției Naționale pentru Siguranța Alimentelor (ANSA), implică conflict de interese între funcțiile de implementare (omologare) a produselor de uz fitosanitar și a fertilizanților și funcțiilor de supraveghere și control atribuite Agenţiei Naţionale </w:t>
            </w:r>
            <w:r w:rsidRPr="0017206D">
              <w:rPr>
                <w:rFonts w:ascii="Times New Roman" w:eastAsia="Times New Roman" w:hAnsi="Times New Roman" w:cs="Times New Roman"/>
                <w:sz w:val="24"/>
                <w:szCs w:val="24"/>
                <w:lang w:eastAsia="ru-RU"/>
              </w:rPr>
              <w:lastRenderedPageBreak/>
              <w:t xml:space="preserve">pentru Siguranţa Alimentelor, care anual, conform competențelor asigură controlul respectării de către agenții economici a cadrului normativ în domeniu.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De facto, problema constă în reorganizarea neargumentată a 2 întreprinderi de stat (Laboratorul Central Fitosanitar și Centrul de stat), cu domenii de activitate diametral opuse.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În contextul implementării Acordului de Asociere Republica Moldova–Uniunea Europeană, Ministerul Agriculturii, Dezvoltării Regionale şi Mediului este responsabil de transpunerea Regulamentului (CE) nr. 1107/2009 privind introducerea pe piață a produselor fitosanitare. Cerințele art. 75 din Regulament prevăd expres, că fiecare stat membru al UE este obligat să desemneze o autoritate competentă, care să asigure îndeplinirea obligațiilor stabilite în Regulamentul dat </w:t>
            </w:r>
            <w:r w:rsidRPr="0017206D">
              <w:rPr>
                <w:rFonts w:ascii="Times New Roman" w:eastAsia="Times New Roman" w:hAnsi="Times New Roman" w:cs="Times New Roman"/>
                <w:i/>
                <w:sz w:val="24"/>
                <w:szCs w:val="24"/>
                <w:lang w:eastAsia="ru-RU"/>
              </w:rPr>
              <w:t>(se propune Centrul de Stat),</w:t>
            </w:r>
            <w:r w:rsidRPr="0017206D">
              <w:rPr>
                <w:rFonts w:ascii="Times New Roman" w:eastAsia="Times New Roman" w:hAnsi="Times New Roman" w:cs="Times New Roman"/>
                <w:sz w:val="24"/>
                <w:szCs w:val="24"/>
                <w:lang w:eastAsia="ru-RU"/>
              </w:rPr>
              <w:t xml:space="preserve"> precum și o autoritate națională coordonatoare (MADRM), care va gestiona și asigura conlucrarea cu autoritățile similare din statele membre ale UE și Comisia Europeană, în vederea autorizării produselor de uz fitosanitar.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Reorganizarea produsă, prin lichidarea </w:t>
            </w:r>
            <w:r w:rsidRPr="0017206D">
              <w:rPr>
                <w:rFonts w:ascii="Times New Roman" w:eastAsia="Times New Roman" w:hAnsi="Times New Roman" w:cs="Times New Roman"/>
                <w:i/>
                <w:sz w:val="24"/>
                <w:szCs w:val="24"/>
                <w:lang w:eastAsia="ru-RU"/>
              </w:rPr>
              <w:t>(absorbția)</w:t>
            </w:r>
            <w:r w:rsidRPr="0017206D">
              <w:rPr>
                <w:rFonts w:ascii="Times New Roman" w:eastAsia="Times New Roman" w:hAnsi="Times New Roman" w:cs="Times New Roman"/>
                <w:sz w:val="24"/>
                <w:szCs w:val="24"/>
                <w:lang w:eastAsia="ru-RU"/>
              </w:rPr>
              <w:t xml:space="preserve"> Centrului de stat, abilitat cu activități de organizare/coordonare a cercetării, testării, experimentării şi omologării de stat a produselor de uz fitosanitar si a fertilizanților face imposibilă implementarea conformă a cadrului normativ în domeniu și celui ce urmează a fi armonizat la cerințele actelor UE.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Totodată, reorganizarea aprobată prin Hotărârea Guvernului nr. 600/2018 este percepută de solicitanții omologării (industria producătoare de pesticide și fertilizanți) ca lichidare de structură instituțională fapt ce i-a determinat spre stagnarea activităților cu Republica Moldova. Evidența numărului de cereri depuse de către acestea în vederea cercetării, testării, experimentării în anul 2019 (33 cereri) a scăzut în raport cu anii 2017 (39 cereri), anul 2018 (47 cereri).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Centrul de Stat este unica entitate națională, responsabilă de prestarea serviciilor în domeniul omologării, conforme cerințelor UE, care dezvoltă anual activități cu cca 40 solicitanți ai industriei producătoare de pesticide </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lastRenderedPageBreak/>
              <w:t>c</w:t>
            </w:r>
            <w:r w:rsidRPr="00F41BFA">
              <w:rPr>
                <w:rFonts w:ascii="Times New Roman" w:eastAsia="Times New Roman" w:hAnsi="Times New Roman" w:cs="Times New Roman"/>
                <w:sz w:val="20"/>
                <w:szCs w:val="20"/>
                <w:lang w:eastAsia="ru-RU"/>
              </w:rPr>
              <w:t>) Expuneţi clar cauzele care au dus la apariţia problemei</w:t>
            </w:r>
          </w:p>
        </w:tc>
        <w:tc>
          <w:tcPr>
            <w:tcW w:w="1021" w:type="pct"/>
            <w:gridSpan w:val="2"/>
            <w:tcBorders>
              <w:top w:val="single" w:sz="6" w:space="0" w:color="000000"/>
              <w:left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Apariția problemei privind diminuarea implementării politicii statului în domeniul cercetării, testării, experimentării şi omologării de stat a produselor de uz fitosanitar si a fertilizanților se datorează reorganizării instituționale a Centrului de stat</w:t>
            </w:r>
            <w:r w:rsidRPr="0017206D">
              <w:rPr>
                <w:rFonts w:ascii="Times New Roman" w:hAnsi="Times New Roman" w:cs="Times New Roman"/>
                <w:sz w:val="24"/>
                <w:szCs w:val="24"/>
              </w:rPr>
              <w:t xml:space="preserve"> conform </w:t>
            </w:r>
            <w:r w:rsidRPr="0017206D">
              <w:rPr>
                <w:rFonts w:ascii="Times New Roman" w:eastAsia="Times New Roman" w:hAnsi="Times New Roman" w:cs="Times New Roman"/>
                <w:sz w:val="24"/>
                <w:szCs w:val="24"/>
                <w:lang w:eastAsia="ru-RU"/>
              </w:rPr>
              <w:t>Hotărârii Guvernului nr. 600/2018, norme care vin în contradicție cu Legea nr. 119/2004.</w:t>
            </w:r>
          </w:p>
          <w:p w:rsidR="005B2F5F" w:rsidRPr="0017206D" w:rsidRDefault="005B2F5F" w:rsidP="00F14F81">
            <w:pPr>
              <w:spacing w:after="0"/>
              <w:ind w:firstLine="567"/>
              <w:jc w:val="both"/>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sz w:val="24"/>
                <w:szCs w:val="24"/>
                <w:lang w:eastAsia="ru-RU"/>
              </w:rPr>
              <w:t xml:space="preserve">Absorbția Centrului de Stat de către I.P. Laboratorul Central fitosanitar prin formarea unei Direcții, căreia îi sunt atribuite doar 4 sarcini și 0 atribuții în domeniul omologării produselor de uz fitosanitar, a fost efectuată </w:t>
            </w:r>
            <w:r w:rsidRPr="0017206D">
              <w:rPr>
                <w:rFonts w:ascii="Times New Roman" w:eastAsia="Times New Roman" w:hAnsi="Times New Roman" w:cs="Times New Roman"/>
                <w:b/>
                <w:sz w:val="24"/>
                <w:szCs w:val="24"/>
                <w:lang w:eastAsia="ru-RU"/>
              </w:rPr>
              <w:t>în lipsa:</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studiului de fezabilitate;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argumentării economico-financiare a schimbării formei juridice de organizare asupra domeniului;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impactului asupra bugetului de stat;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impactului asupra entităților implicate;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riscului de concediere a specialiștilor calificați, alte impacturi, fapt ce subminează domeniul de activitate.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Evident că reorganizarea în condițiile Hotărârii Guvernului nr. 600/2018 a generat impact negativ asupra solicitanților omologării, a dezonorat imaginea instituției, a diminuat credibilitatea acesteia, fapt confirmat prin micșorarea numărului de solicitări pentru omologare a produselor de uz fitosanitar (contracte) de la 47 firme în anul 2018, la 33 în anul 2019 sau, cu 29,7 la sută mai puțin.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În rezultat, s-au înregistrat micșorări și a numărului total de testări-cercetări a eficacității </w:t>
            </w:r>
            <w:r w:rsidRPr="0017206D">
              <w:rPr>
                <w:rFonts w:ascii="Times New Roman" w:eastAsia="Times New Roman" w:hAnsi="Times New Roman" w:cs="Times New Roman"/>
                <w:sz w:val="24"/>
                <w:szCs w:val="24"/>
                <w:lang w:eastAsia="ru-RU"/>
              </w:rPr>
              <w:lastRenderedPageBreak/>
              <w:t>biologice a produselor cu 26 % și a sumei mijloacelor financiare încasate cu 28,3 %.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Pentru Ministerul Agriculturii și Dezvoltării Regionale și Mediului, autoritate publică centrală responsabilă de elaborarea politicilor în domeniul respectiv, absorbția Centrului de stat creează impedimente la realizarea Planului național de acțiuni pentru implementarea Acordului de Asociere Republica Moldova - Uniunea Europeană în perioada 2017-2019 (Hotărârea Guvernului nr. 1472/2016) și la transpunerea conformă a cerințelor Regulamentului (CE) nr. 1107/2009 privind introducerea pe piață a produselor fitosanitare.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Implementarea pct. 11 din Hotărârea Guvernului nr. 600/2018 vine în contradicție cu cerințele Regulamentului menționat, normele căruia prevăd expres, că fiecare stat membru al UE este obligat să desemneze o autoritate competentă (Centrul de Stat), care să asigure îndeplinirea obligațiilor stabilite în regulamentul dat, precum și o autoritate națională coordonatoare (MADRM), care va gestiona și asigura conlucrarea cu autoritățile similare din statele membre ale UE și Comisia Europeană, în vederea autorizării zonale a produselor de uz fitosanitar. În limita atribuțiilor specificate în Hotărârea Guvernului nr. 1209/2018.</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Întru excluderea conflictului de interese, I.P. Laboratorul Central Fitosanitar nu poate fi desemnată ca autoritate competentă care să asigure îndeplinirea integrală a atribuțiilor stabilite în Regulamentul 1107/2009, iar autoritatea națională coordonatoare  nu poate fi desemnată Agenţia Naţională pentru Siguranţa Alimentelor, responsabilă de supraveghere și control și nu de elaborare, promovare și armonizare a cadrului normativ în domeniul vizat.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Întru evitarea producerii reorganizării, colectivul Centrului de stat, prin petițiile colective nr. 08-1939/19 din 15 iulie 2019 și nr. 06/4-06-2304 din 21.11.2019 adresată dlui Igor </w:t>
            </w:r>
            <w:proofErr w:type="spellStart"/>
            <w:r w:rsidRPr="0017206D">
              <w:rPr>
                <w:rFonts w:ascii="Times New Roman" w:eastAsia="Times New Roman" w:hAnsi="Times New Roman" w:cs="Times New Roman"/>
                <w:sz w:val="24"/>
                <w:szCs w:val="24"/>
                <w:lang w:eastAsia="ru-RU"/>
              </w:rPr>
              <w:t>Dodon</w:t>
            </w:r>
            <w:proofErr w:type="spellEnd"/>
            <w:r w:rsidRPr="0017206D">
              <w:rPr>
                <w:rFonts w:ascii="Times New Roman" w:eastAsia="Times New Roman" w:hAnsi="Times New Roman" w:cs="Times New Roman"/>
                <w:sz w:val="24"/>
                <w:szCs w:val="24"/>
                <w:lang w:eastAsia="ru-RU"/>
              </w:rPr>
              <w:t>, Președinte al Republicii Moldova, solicită structurilor statale menținerea întreprinderii ca entitate separată, în subordinea Ministerului Agriculturii, Dezvoltării Regionale şi Mediului, prin anularea procesului de reorganizare prin fuziune (absorbție) de către I.P. Laboratorul Central Fitosanitar.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Rezultatele AIR denotă că reorganizarea Centrului de Stat din ”Întreprindere de stat” în ”Instituție publică” va avea impact asupra Bugetului de stat prin </w:t>
            </w:r>
            <w:proofErr w:type="spellStart"/>
            <w:r w:rsidRPr="0017206D">
              <w:rPr>
                <w:rFonts w:ascii="Times New Roman" w:eastAsia="Times New Roman" w:hAnsi="Times New Roman" w:cs="Times New Roman"/>
                <w:sz w:val="24"/>
                <w:szCs w:val="24"/>
                <w:lang w:eastAsia="ru-RU"/>
              </w:rPr>
              <w:t>neachitararea</w:t>
            </w:r>
            <w:proofErr w:type="spellEnd"/>
            <w:r w:rsidRPr="0017206D">
              <w:rPr>
                <w:rFonts w:ascii="Times New Roman" w:eastAsia="Times New Roman" w:hAnsi="Times New Roman" w:cs="Times New Roman"/>
                <w:sz w:val="24"/>
                <w:szCs w:val="24"/>
                <w:lang w:eastAsia="ru-RU"/>
              </w:rPr>
              <w:t xml:space="preserve"> impozitelor transferate în conformitate cu Codul fiscal nr. 1163/1997.</w:t>
            </w:r>
          </w:p>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b/>
                <w:bCs/>
                <w:sz w:val="24"/>
                <w:szCs w:val="24"/>
                <w:lang w:eastAsia="ru-RU"/>
              </w:rPr>
            </w:pPr>
          </w:p>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Taxa pe valoare adăugată transferata la Bugetul de stat</w:t>
            </w:r>
          </w:p>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conform prevederilor Titlului III al Codului fiscal</w:t>
            </w:r>
          </w:p>
          <w:p w:rsidR="005B2F5F" w:rsidRPr="0017206D" w:rsidRDefault="005B2F5F" w:rsidP="00F14F81">
            <w:pPr>
              <w:overflowPunct w:val="0"/>
              <w:autoSpaceDE w:val="0"/>
              <w:autoSpaceDN w:val="0"/>
              <w:adjustRightInd w:val="0"/>
              <w:spacing w:after="0"/>
              <w:ind w:firstLine="708"/>
              <w:jc w:val="both"/>
              <w:textAlignment w:val="baseline"/>
              <w:rPr>
                <w:rFonts w:ascii="Times New Roman" w:eastAsia="Times New Roman" w:hAnsi="Times New Roman" w:cs="Times New Roman"/>
                <w:bCs/>
                <w:sz w:val="24"/>
                <w:szCs w:val="24"/>
                <w:lang w:eastAsia="ru-RU"/>
              </w:rPr>
            </w:pPr>
          </w:p>
          <w:tbl>
            <w:tblPr>
              <w:tblW w:w="804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1"/>
              <w:gridCol w:w="1531"/>
              <w:gridCol w:w="1417"/>
              <w:gridCol w:w="1276"/>
              <w:gridCol w:w="1021"/>
            </w:tblGrid>
            <w:tr w:rsidR="005B2F5F" w:rsidRPr="0017206D" w:rsidTr="00F14F81">
              <w:tc>
                <w:tcPr>
                  <w:tcW w:w="2801" w:type="dxa"/>
                </w:tcPr>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sz w:val="24"/>
                      <w:szCs w:val="24"/>
                      <w:lang w:eastAsia="ru-RU"/>
                    </w:rPr>
                    <w:t>TVA</w:t>
                  </w:r>
                </w:p>
              </w:tc>
              <w:tc>
                <w:tcPr>
                  <w:tcW w:w="5245" w:type="dxa"/>
                  <w:gridSpan w:val="4"/>
                </w:tcPr>
                <w:p w:rsidR="005B2F5F" w:rsidRPr="0017206D" w:rsidRDefault="005B2F5F" w:rsidP="00F14F81">
                  <w:pPr>
                    <w:overflowPunct w:val="0"/>
                    <w:autoSpaceDE w:val="0"/>
                    <w:autoSpaceDN w:val="0"/>
                    <w:adjustRightInd w:val="0"/>
                    <w:spacing w:after="0"/>
                    <w:ind w:right="147"/>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Anul</w:t>
                  </w:r>
                </w:p>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bCs/>
                      <w:sz w:val="24"/>
                      <w:szCs w:val="24"/>
                      <w:lang w:eastAsia="ru-RU"/>
                    </w:rPr>
                  </w:pPr>
                </w:p>
              </w:tc>
            </w:tr>
            <w:tr w:rsidR="005B2F5F" w:rsidRPr="0017206D" w:rsidTr="00F14F81">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2015</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2016</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2017</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2018</w:t>
                  </w:r>
                </w:p>
              </w:tc>
            </w:tr>
            <w:tr w:rsidR="005B2F5F" w:rsidRPr="0017206D" w:rsidTr="00F14F81">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Mii lei</w:t>
                  </w: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2787.9</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3430.6</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4312.4</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4583.9</w:t>
                  </w:r>
                </w:p>
              </w:tc>
            </w:tr>
          </w:tbl>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w:t>
            </w:r>
          </w:p>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Impozit pe venit calculat și transferat la Bugetul de stat</w:t>
            </w:r>
          </w:p>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conform titlului II al Codului fiscal în mărime de 12 % din venitul impozabil</w:t>
            </w:r>
          </w:p>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p>
          <w:tbl>
            <w:tblPr>
              <w:tblW w:w="804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1"/>
              <w:gridCol w:w="1531"/>
              <w:gridCol w:w="1417"/>
              <w:gridCol w:w="1276"/>
              <w:gridCol w:w="1021"/>
            </w:tblGrid>
            <w:tr w:rsidR="005B2F5F" w:rsidRPr="0017206D" w:rsidTr="00F14F81">
              <w:tc>
                <w:tcPr>
                  <w:tcW w:w="2801" w:type="dxa"/>
                </w:tcPr>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sz w:val="24"/>
                      <w:szCs w:val="24"/>
                      <w:lang w:eastAsia="ru-RU"/>
                    </w:rPr>
                    <w:t>Impozit pe venit</w:t>
                  </w:r>
                </w:p>
              </w:tc>
              <w:tc>
                <w:tcPr>
                  <w:tcW w:w="5245" w:type="dxa"/>
                  <w:gridSpan w:val="4"/>
                </w:tcPr>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Anul</w:t>
                  </w:r>
                </w:p>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
                      <w:bCs/>
                      <w:sz w:val="24"/>
                      <w:szCs w:val="24"/>
                      <w:lang w:eastAsia="ru-RU"/>
                    </w:rPr>
                  </w:pPr>
                </w:p>
              </w:tc>
            </w:tr>
            <w:tr w:rsidR="005B2F5F" w:rsidRPr="0017206D" w:rsidTr="00F14F81">
              <w:trPr>
                <w:trHeight w:val="389"/>
              </w:trPr>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2015</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2016</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2017</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2018</w:t>
                  </w:r>
                </w:p>
              </w:tc>
            </w:tr>
            <w:tr w:rsidR="005B2F5F" w:rsidRPr="0017206D" w:rsidTr="00F14F81">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Mii lei</w:t>
                  </w: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144.2</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203.9</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390.6</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423.2</w:t>
                  </w:r>
                </w:p>
              </w:tc>
            </w:tr>
          </w:tbl>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w:t>
            </w:r>
          </w:p>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sz w:val="24"/>
                <w:szCs w:val="24"/>
                <w:lang w:eastAsia="ru-RU"/>
              </w:rPr>
              <w:lastRenderedPageBreak/>
              <w:t>Veniturile Centrului de stat din prestarea serviciilor în anii 2015-2018</w:t>
            </w:r>
          </w:p>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sz w:val="24"/>
                <w:szCs w:val="24"/>
                <w:lang w:eastAsia="ru-RU"/>
              </w:rPr>
            </w:pPr>
          </w:p>
          <w:tbl>
            <w:tblPr>
              <w:tblW w:w="804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1"/>
              <w:gridCol w:w="1531"/>
              <w:gridCol w:w="1417"/>
              <w:gridCol w:w="1276"/>
              <w:gridCol w:w="1021"/>
            </w:tblGrid>
            <w:tr w:rsidR="005B2F5F" w:rsidRPr="0017206D" w:rsidTr="00F14F81">
              <w:tc>
                <w:tcPr>
                  <w:tcW w:w="2801" w:type="dxa"/>
                </w:tcPr>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sz w:val="24"/>
                      <w:szCs w:val="24"/>
                      <w:lang w:eastAsia="ru-RU"/>
                    </w:rPr>
                    <w:t>Venituri din prestarea serviciilor</w:t>
                  </w:r>
                </w:p>
              </w:tc>
              <w:tc>
                <w:tcPr>
                  <w:tcW w:w="5245" w:type="dxa"/>
                  <w:gridSpan w:val="4"/>
                </w:tcPr>
                <w:p w:rsidR="005B2F5F" w:rsidRPr="0017206D" w:rsidRDefault="005B2F5F" w:rsidP="00F14F81">
                  <w:pPr>
                    <w:overflowPunct w:val="0"/>
                    <w:autoSpaceDE w:val="0"/>
                    <w:autoSpaceDN w:val="0"/>
                    <w:adjustRightInd w:val="0"/>
                    <w:spacing w:after="0"/>
                    <w:jc w:val="center"/>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Anul</w:t>
                  </w:r>
                </w:p>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
                      <w:bCs/>
                      <w:sz w:val="24"/>
                      <w:szCs w:val="24"/>
                      <w:lang w:eastAsia="ru-RU"/>
                    </w:rPr>
                  </w:pPr>
                </w:p>
              </w:tc>
            </w:tr>
            <w:tr w:rsidR="005B2F5F" w:rsidRPr="0017206D" w:rsidTr="00F14F81">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2015</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2016</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2017</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2018</w:t>
                  </w:r>
                </w:p>
              </w:tc>
            </w:tr>
            <w:tr w:rsidR="005B2F5F" w:rsidRPr="0017206D" w:rsidTr="00F14F81">
              <w:tc>
                <w:tcPr>
                  <w:tcW w:w="280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Mii lei</w:t>
                  </w:r>
                </w:p>
              </w:tc>
              <w:tc>
                <w:tcPr>
                  <w:tcW w:w="153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
                      <w:bCs/>
                      <w:sz w:val="24"/>
                      <w:szCs w:val="24"/>
                      <w:lang w:eastAsia="ru-RU"/>
                    </w:rPr>
                    <w:t>14687.9</w:t>
                  </w:r>
                </w:p>
              </w:tc>
              <w:tc>
                <w:tcPr>
                  <w:tcW w:w="1417"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
                      <w:bCs/>
                      <w:sz w:val="24"/>
                      <w:szCs w:val="24"/>
                      <w:lang w:eastAsia="ru-RU"/>
                    </w:rPr>
                    <w:t>17472.5</w:t>
                  </w:r>
                </w:p>
              </w:tc>
              <w:tc>
                <w:tcPr>
                  <w:tcW w:w="1276"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
                      <w:bCs/>
                      <w:sz w:val="24"/>
                      <w:szCs w:val="24"/>
                      <w:lang w:eastAsia="ru-RU"/>
                    </w:rPr>
                    <w:t>22303.5</w:t>
                  </w:r>
                </w:p>
              </w:tc>
              <w:tc>
                <w:tcPr>
                  <w:tcW w:w="102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
                      <w:bCs/>
                      <w:sz w:val="24"/>
                      <w:szCs w:val="24"/>
                      <w:lang w:eastAsia="ru-RU"/>
                    </w:rPr>
                    <w:t>23322.3</w:t>
                  </w:r>
                </w:p>
              </w:tc>
            </w:tr>
          </w:tbl>
          <w:p w:rsidR="005B2F5F" w:rsidRPr="0017206D" w:rsidRDefault="005B2F5F" w:rsidP="00F14F81">
            <w:pPr>
              <w:spacing w:after="0"/>
              <w:ind w:left="34" w:firstLine="850"/>
              <w:jc w:val="both"/>
              <w:rPr>
                <w:rFonts w:ascii="Times New Roman" w:eastAsia="Calibri" w:hAnsi="Times New Roman" w:cs="Times New Roman"/>
                <w:bCs/>
                <w:sz w:val="24"/>
                <w:szCs w:val="24"/>
                <w:lang w:eastAsia="ja-JP"/>
              </w:rPr>
            </w:pPr>
          </w:p>
          <w:p w:rsidR="005B2F5F" w:rsidRPr="0017206D" w:rsidRDefault="005B2F5F" w:rsidP="00F14F81">
            <w:pPr>
              <w:overflowPunct w:val="0"/>
              <w:autoSpaceDE w:val="0"/>
              <w:autoSpaceDN w:val="0"/>
              <w:adjustRightInd w:val="0"/>
              <w:spacing w:after="0"/>
              <w:ind w:firstLine="85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Conform anexei la Legea nr.121/2007, Centrul de stat este inclus în Lista bunurilor nepasibile de privatizare și prevederilor Hotărârii Guvernului nr.110/2011 cu privire la unele aspecte ce ţin de repartizarea profitului net anual al societăţilor pe acţiuni cu cota de participare a statului și al întreprinderilor de stat, Centrul de stat transferă anual în bugetul de stat, a unei părți din profit nu mai mica de 25%.</w:t>
            </w:r>
          </w:p>
          <w:p w:rsidR="005B2F5F" w:rsidRPr="0017206D" w:rsidRDefault="005B2F5F" w:rsidP="00F14F81">
            <w:pPr>
              <w:overflowPunct w:val="0"/>
              <w:autoSpaceDE w:val="0"/>
              <w:autoSpaceDN w:val="0"/>
              <w:adjustRightInd w:val="0"/>
              <w:spacing w:after="0"/>
              <w:ind w:firstLine="85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Pentru anii 2015-2018 suma defalcărilor din profitul net calculate si transferate în Bugetul de stat au costului respectiv: </w:t>
            </w:r>
            <w:r w:rsidRPr="0017206D">
              <w:rPr>
                <w:rFonts w:ascii="Times New Roman" w:eastAsia="Times New Roman" w:hAnsi="Times New Roman" w:cs="Times New Roman"/>
                <w:bCs/>
                <w:sz w:val="24"/>
                <w:szCs w:val="24"/>
                <w:lang w:eastAsia="ru-RU"/>
              </w:rPr>
              <w:t>230,3 mii lei, 333,5 mii lei, 775,6 mii lei și 1021,3 mii lei.</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lastRenderedPageBreak/>
              <w:t>d) Descrieţi cum a evoluat problema şi cum va evolua fără o intervenţie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hd w:val="clear" w:color="auto" w:fill="FFFFFF" w:themeFill="background1"/>
              <w:spacing w:after="0"/>
              <w:ind w:firstLine="708"/>
              <w:jc w:val="both"/>
              <w:rPr>
                <w:rFonts w:ascii="Times New Roman" w:hAnsi="Times New Roman" w:cs="Times New Roman"/>
                <w:sz w:val="24"/>
                <w:szCs w:val="24"/>
              </w:rPr>
            </w:pPr>
            <w:r w:rsidRPr="0017206D">
              <w:rPr>
                <w:rFonts w:ascii="Times New Roman" w:hAnsi="Times New Roman" w:cs="Times New Roman"/>
                <w:sz w:val="24"/>
                <w:szCs w:val="24"/>
              </w:rPr>
              <w:t xml:space="preserve">Conform Hotărârii Guvernului nr. 600/2018, </w:t>
            </w:r>
            <w:r w:rsidRPr="0017206D">
              <w:rPr>
                <w:rFonts w:ascii="Times New Roman" w:hAnsi="Times New Roman" w:cs="Times New Roman"/>
                <w:sz w:val="24"/>
                <w:szCs w:val="24"/>
                <w:shd w:val="clear" w:color="auto" w:fill="FFFFFF" w:themeFill="background1"/>
              </w:rPr>
              <w:t xml:space="preserve">Centrul de Stat </w:t>
            </w:r>
            <w:r w:rsidRPr="0017206D">
              <w:rPr>
                <w:rFonts w:ascii="Times New Roman" w:hAnsi="Times New Roman" w:cs="Times New Roman"/>
                <w:sz w:val="24"/>
                <w:szCs w:val="24"/>
              </w:rPr>
              <w:t>a întreprins următoarele acțiuni:</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xml:space="preserve">- a înregistrat inițiativa de reorganizare la Agenția Servicii Publice; </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a obținut Extrasul din Registrul de stat al persoanelor juridice despre procesul de reorganizare, emis de către Agenția Servicii Publice;</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a publicat anunțul despre reorganizarea Centrului de Stat în Monitorul Oficial al Republicii Moldova, 2019, nr. 193-202;</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a informat salariații despre demararea procedurii de reorganizare a întreprinderii;</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a plasat avizul despre reorganizarea Centrului de Stat pe pagina web oficială a acestuia (</w:t>
            </w:r>
            <w:hyperlink r:id="rId8" w:history="1">
              <w:r w:rsidRPr="0017206D">
                <w:rPr>
                  <w:rStyle w:val="a3"/>
                  <w:rFonts w:ascii="Times New Roman" w:hAnsi="Times New Roman" w:cs="Times New Roman"/>
                  <w:color w:val="auto"/>
                  <w:sz w:val="24"/>
                  <w:szCs w:val="24"/>
                </w:rPr>
                <w:t>www.pesticide.md</w:t>
              </w:r>
            </w:hyperlink>
            <w:r w:rsidRPr="0017206D">
              <w:rPr>
                <w:rFonts w:ascii="Times New Roman" w:hAnsi="Times New Roman" w:cs="Times New Roman"/>
                <w:sz w:val="24"/>
                <w:szCs w:val="24"/>
              </w:rPr>
              <w:t>);</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a emis Ordinul nr. 5-A din 24.09.2019 despre inventarierea patrimoniului Centrului de Stat.</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În lipsa intervenției din partea statului:</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Centrul de Stat pentru Atestarea si Omologarea Produselor de Uz Fitosanitar si a Fertilizanților, va dispărea ca entitate separată, imparțială, responsabilă de implementarea politicii statului în domeniul produselor de uz fitosanitar și a fertilizanților;</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va fi reprezentat de o Direcție în cadrul I.P. Laboratorul Central Fitosanitar, instituție cu atribuții diametral opuse Centrului de Stat;</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riscul exodului specialiștilor calificați;</w:t>
            </w:r>
          </w:p>
          <w:p w:rsidR="005B2F5F" w:rsidRPr="0017206D" w:rsidRDefault="005B2F5F" w:rsidP="00F14F81">
            <w:pPr>
              <w:pStyle w:val="a4"/>
              <w:shd w:val="clear" w:color="auto" w:fill="FFFFFF" w:themeFill="background1"/>
              <w:spacing w:after="0"/>
              <w:ind w:left="0" w:firstLine="851"/>
              <w:jc w:val="both"/>
              <w:rPr>
                <w:rFonts w:ascii="Times New Roman" w:hAnsi="Times New Roman" w:cs="Times New Roman"/>
                <w:sz w:val="24"/>
                <w:szCs w:val="24"/>
              </w:rPr>
            </w:pPr>
            <w:r w:rsidRPr="0017206D">
              <w:rPr>
                <w:rFonts w:ascii="Times New Roman" w:hAnsi="Times New Roman" w:cs="Times New Roman"/>
                <w:sz w:val="24"/>
                <w:szCs w:val="24"/>
              </w:rPr>
              <w:t>- pierderea credibilității și imaginii instituției cu atribuții de omologare a produselor de uz fitosanitar și a fertilizanților.</w:t>
            </w:r>
          </w:p>
          <w:p w:rsidR="005B2F5F" w:rsidRPr="0017206D" w:rsidRDefault="005B2F5F" w:rsidP="00F14F81">
            <w:pPr>
              <w:pStyle w:val="a4"/>
              <w:shd w:val="clear" w:color="auto" w:fill="FFFFFF" w:themeFill="background1"/>
              <w:spacing w:after="0"/>
              <w:ind w:left="0" w:firstLine="851"/>
              <w:jc w:val="both"/>
              <w:rPr>
                <w:rFonts w:ascii="Times New Roman" w:eastAsia="Times New Roman" w:hAnsi="Times New Roman" w:cs="Times New Roman"/>
                <w:sz w:val="24"/>
                <w:szCs w:val="24"/>
                <w:lang w:eastAsia="ru-RU"/>
              </w:rPr>
            </w:pP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e) Descrieţi cadrul juridic actual aplicabil raporturilor analizate şi identificaţi carenţele prevederilor normative în vigoare, identificaţi documentele de politici şi reglementările existente care condiţionează intervenţia statului</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hAnsi="Times New Roman" w:cs="Times New Roman"/>
                <w:sz w:val="24"/>
                <w:szCs w:val="24"/>
              </w:rPr>
            </w:pPr>
            <w:r w:rsidRPr="0017206D">
              <w:rPr>
                <w:rFonts w:ascii="Times New Roman" w:hAnsi="Times New Roman" w:cs="Times New Roman"/>
                <w:sz w:val="24"/>
                <w:szCs w:val="24"/>
              </w:rPr>
              <w:t xml:space="preserve">Activitatea Centrului de Stat este reglementată de  următoarele acte normative: </w:t>
            </w:r>
          </w:p>
          <w:p w:rsidR="005B2F5F" w:rsidRPr="0017206D" w:rsidRDefault="005B2F5F" w:rsidP="00F14F81">
            <w:pPr>
              <w:spacing w:after="0"/>
              <w:ind w:firstLine="851"/>
              <w:jc w:val="both"/>
              <w:rPr>
                <w:rFonts w:ascii="Times New Roman" w:eastAsia="Times New Roman" w:hAnsi="Times New Roman" w:cs="Times New Roman"/>
                <w:bCs/>
                <w:sz w:val="24"/>
                <w:szCs w:val="24"/>
                <w:lang w:eastAsia="ru-RU"/>
              </w:rPr>
            </w:pPr>
            <w:r w:rsidRPr="0017206D">
              <w:rPr>
                <w:rFonts w:ascii="Times New Roman" w:hAnsi="Times New Roman" w:cs="Times New Roman"/>
                <w:sz w:val="24"/>
                <w:szCs w:val="24"/>
              </w:rPr>
              <w:t>1) Hotărârea Guvernului nr. 1307/2005</w:t>
            </w:r>
            <w:r w:rsidRPr="0017206D">
              <w:rPr>
                <w:rFonts w:ascii="Times New Roman" w:eastAsia="Times New Roman" w:hAnsi="Times New Roman" w:cs="Times New Roman"/>
                <w:b/>
                <w:bCs/>
                <w:sz w:val="24"/>
                <w:szCs w:val="24"/>
                <w:lang w:eastAsia="ru-RU"/>
              </w:rPr>
              <w:t xml:space="preserve"> </w:t>
            </w:r>
            <w:r w:rsidRPr="0017206D">
              <w:rPr>
                <w:rFonts w:ascii="Times New Roman" w:eastAsia="Times New Roman" w:hAnsi="Times New Roman" w:cs="Times New Roman"/>
                <w:bCs/>
                <w:sz w:val="24"/>
                <w:szCs w:val="24"/>
                <w:lang w:eastAsia="ru-RU"/>
              </w:rPr>
              <w:t xml:space="preserve">cu privire la aprobarea Regulamentului privind atestarea şi omologarea de stat a produselor de uz fitosanitar şi a fertilizanţilor pentru utilizare în agricultură şi silvicultură, </w:t>
            </w:r>
          </w:p>
          <w:p w:rsidR="005B2F5F" w:rsidRPr="0017206D" w:rsidRDefault="005B2F5F" w:rsidP="00F14F81">
            <w:pPr>
              <w:spacing w:after="0"/>
              <w:ind w:firstLine="851"/>
              <w:jc w:val="both"/>
              <w:rPr>
                <w:rFonts w:ascii="Times New Roman" w:hAnsi="Times New Roman" w:cs="Times New Roman"/>
                <w:sz w:val="24"/>
                <w:szCs w:val="24"/>
              </w:rPr>
            </w:pPr>
            <w:r w:rsidRPr="0017206D">
              <w:rPr>
                <w:rFonts w:ascii="Times New Roman" w:hAnsi="Times New Roman" w:cs="Times New Roman"/>
                <w:sz w:val="24"/>
                <w:szCs w:val="24"/>
              </w:rPr>
              <w:t xml:space="preserve">2) </w:t>
            </w:r>
            <w:proofErr w:type="spellStart"/>
            <w:r w:rsidRPr="0017206D">
              <w:rPr>
                <w:rFonts w:ascii="Times New Roman" w:hAnsi="Times New Roman" w:cs="Times New Roman"/>
                <w:sz w:val="24"/>
                <w:szCs w:val="24"/>
              </w:rPr>
              <w:t>Hotărîrea</w:t>
            </w:r>
            <w:proofErr w:type="spellEnd"/>
            <w:r w:rsidRPr="0017206D">
              <w:rPr>
                <w:rFonts w:ascii="Times New Roman" w:hAnsi="Times New Roman" w:cs="Times New Roman"/>
                <w:sz w:val="24"/>
                <w:szCs w:val="24"/>
              </w:rPr>
              <w:t xml:space="preserve"> Guvernului nr. 970/2014 cu privire la aprobarea Regulamentului privind </w:t>
            </w:r>
            <w:r w:rsidRPr="0017206D">
              <w:rPr>
                <w:rFonts w:ascii="Times New Roman" w:hAnsi="Times New Roman" w:cs="Times New Roman"/>
                <w:sz w:val="24"/>
                <w:szCs w:val="24"/>
              </w:rPr>
              <w:lastRenderedPageBreak/>
              <w:t>crearea și funcționarea ghișeului unic pentru eliberarea certificatului fitosanitar pentru export/reexport;</w:t>
            </w:r>
          </w:p>
          <w:p w:rsidR="005B2F5F" w:rsidRPr="0017206D" w:rsidRDefault="005B2F5F" w:rsidP="00F14F81">
            <w:pPr>
              <w:spacing w:after="0"/>
              <w:ind w:firstLine="851"/>
              <w:jc w:val="both"/>
              <w:rPr>
                <w:rFonts w:ascii="Times New Roman" w:eastAsia="Times New Roman" w:hAnsi="Times New Roman" w:cs="Times New Roman"/>
                <w:bCs/>
                <w:sz w:val="24"/>
                <w:szCs w:val="24"/>
                <w:lang w:eastAsia="ru-RU"/>
              </w:rPr>
            </w:pPr>
            <w:r w:rsidRPr="0017206D">
              <w:rPr>
                <w:rFonts w:ascii="Times New Roman" w:hAnsi="Times New Roman" w:cs="Times New Roman"/>
                <w:sz w:val="24"/>
                <w:szCs w:val="24"/>
              </w:rPr>
              <w:t>3) Hotărârea Guvernului nr.695/2017 cu privire la organizarea şi funcţionarea Ministerului Agriculturii, Dezvoltării Regionale şi Mediului</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Cs/>
                <w:sz w:val="24"/>
                <w:szCs w:val="24"/>
                <w:lang w:eastAsia="ru-RU"/>
              </w:rPr>
              <w:t xml:space="preserve">4) </w:t>
            </w:r>
            <w:r w:rsidRPr="0017206D">
              <w:rPr>
                <w:rFonts w:ascii="Times New Roman" w:hAnsi="Times New Roman" w:cs="Times New Roman"/>
                <w:sz w:val="24"/>
                <w:szCs w:val="24"/>
              </w:rPr>
              <w:t>Hotărârea Guvernului nr. 600/2018</w:t>
            </w:r>
            <w:r w:rsidRPr="0017206D">
              <w:rPr>
                <w:rFonts w:ascii="Times New Roman" w:eastAsia="Times New Roman" w:hAnsi="Times New Roman" w:cs="Times New Roman"/>
                <w:b/>
                <w:bCs/>
                <w:sz w:val="24"/>
                <w:szCs w:val="24"/>
                <w:lang w:eastAsia="ru-RU"/>
              </w:rPr>
              <w:t xml:space="preserve"> </w:t>
            </w:r>
            <w:r w:rsidRPr="0017206D">
              <w:rPr>
                <w:rFonts w:ascii="Times New Roman" w:eastAsia="Times New Roman" w:hAnsi="Times New Roman" w:cs="Times New Roman"/>
                <w:bCs/>
                <w:sz w:val="24"/>
                <w:szCs w:val="24"/>
                <w:lang w:eastAsia="ru-RU"/>
              </w:rPr>
              <w:t xml:space="preserve">cu privire la organizarea şi funcţionarea Agenţiei Naţionale </w:t>
            </w:r>
            <w:r w:rsidRPr="0017206D">
              <w:rPr>
                <w:rFonts w:ascii="Times New Roman" w:eastAsia="Times New Roman" w:hAnsi="Times New Roman" w:cs="Times New Roman"/>
                <w:sz w:val="24"/>
                <w:szCs w:val="24"/>
                <w:lang w:eastAsia="ru-RU"/>
              </w:rPr>
              <w:t>pentru Siguranţa Alimentelor;</w:t>
            </w:r>
          </w:p>
          <w:p w:rsidR="005B2F5F" w:rsidRPr="0017206D" w:rsidRDefault="005B2F5F" w:rsidP="00F14F81">
            <w:pPr>
              <w:spacing w:after="0"/>
              <w:ind w:firstLine="851"/>
              <w:jc w:val="both"/>
              <w:rPr>
                <w:rFonts w:ascii="Times New Roman" w:hAnsi="Times New Roman" w:cs="Times New Roman"/>
                <w:bCs/>
                <w:sz w:val="24"/>
                <w:szCs w:val="24"/>
                <w:lang w:eastAsia="ru-RU"/>
              </w:rPr>
            </w:pPr>
            <w:r w:rsidRPr="0017206D">
              <w:rPr>
                <w:rFonts w:ascii="Times New Roman" w:eastAsia="Times New Roman" w:hAnsi="Times New Roman" w:cs="Times New Roman"/>
                <w:sz w:val="24"/>
                <w:szCs w:val="24"/>
                <w:lang w:eastAsia="ru-RU"/>
              </w:rPr>
              <w:t xml:space="preserve">5) </w:t>
            </w:r>
            <w:r w:rsidRPr="0017206D">
              <w:rPr>
                <w:rFonts w:ascii="Times New Roman" w:hAnsi="Times New Roman" w:cs="Times New Roman"/>
                <w:sz w:val="24"/>
                <w:szCs w:val="24"/>
              </w:rPr>
              <w:t xml:space="preserve">Hotărârea Guvernului </w:t>
            </w:r>
            <w:r w:rsidRPr="0017206D">
              <w:rPr>
                <w:rFonts w:ascii="Times New Roman" w:hAnsi="Times New Roman" w:cs="Times New Roman"/>
                <w:sz w:val="24"/>
                <w:szCs w:val="24"/>
                <w:lang w:eastAsia="ru-RU"/>
              </w:rPr>
              <w:t xml:space="preserve">nr. 743/2002 </w:t>
            </w:r>
            <w:r w:rsidRPr="0017206D">
              <w:rPr>
                <w:rFonts w:ascii="Times New Roman" w:hAnsi="Times New Roman" w:cs="Times New Roman"/>
                <w:bCs/>
                <w:sz w:val="24"/>
                <w:szCs w:val="24"/>
                <w:lang w:eastAsia="ru-RU"/>
              </w:rPr>
              <w:t>cu privire la salarizarea angajaţilor din unităţile cu autonomie financiară;</w:t>
            </w:r>
          </w:p>
          <w:p w:rsidR="005B2F5F" w:rsidRPr="0017206D" w:rsidRDefault="005B2F5F" w:rsidP="00F14F81">
            <w:pPr>
              <w:spacing w:after="0"/>
              <w:ind w:firstLine="851"/>
              <w:jc w:val="both"/>
              <w:rPr>
                <w:rFonts w:ascii="Times New Roman" w:eastAsia="Times New Roman" w:hAnsi="Times New Roman" w:cs="Times New Roman"/>
                <w:bCs/>
                <w:sz w:val="24"/>
                <w:szCs w:val="24"/>
                <w:lang w:eastAsia="ru-RU"/>
              </w:rPr>
            </w:pPr>
            <w:r w:rsidRPr="0017206D">
              <w:rPr>
                <w:rFonts w:ascii="Times New Roman" w:hAnsi="Times New Roman" w:cs="Times New Roman"/>
                <w:bCs/>
                <w:sz w:val="24"/>
                <w:szCs w:val="24"/>
                <w:lang w:eastAsia="ru-RU"/>
              </w:rPr>
              <w:t xml:space="preserve">6) </w:t>
            </w:r>
            <w:r w:rsidRPr="0017206D">
              <w:rPr>
                <w:rFonts w:ascii="Times New Roman" w:hAnsi="Times New Roman" w:cs="Times New Roman"/>
                <w:sz w:val="24"/>
                <w:szCs w:val="24"/>
              </w:rPr>
              <w:t>Hotărârea Guvernului nr. 1209/2018</w:t>
            </w:r>
            <w:r w:rsidRPr="0017206D">
              <w:rPr>
                <w:rFonts w:ascii="Times New Roman" w:eastAsia="Times New Roman" w:hAnsi="Times New Roman" w:cs="Times New Roman"/>
                <w:bCs/>
                <w:sz w:val="24"/>
                <w:szCs w:val="24"/>
                <w:lang w:eastAsia="ru-RU"/>
              </w:rPr>
              <w:t xml:space="preserve"> cu privire la aprobarea Statutului Instituţiei publice „Laboratorul central fitosanitar”.</w:t>
            </w:r>
          </w:p>
          <w:p w:rsidR="005B2F5F" w:rsidRPr="0017206D" w:rsidRDefault="005B2F5F" w:rsidP="00F14F81">
            <w:pPr>
              <w:spacing w:after="0"/>
              <w:ind w:firstLine="851"/>
              <w:jc w:val="both"/>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 xml:space="preserve">Necesitatea intervenţiei statului se bazează pe respectarea </w:t>
            </w:r>
          </w:p>
          <w:p w:rsidR="005B2F5F" w:rsidRPr="0017206D" w:rsidRDefault="005B2F5F" w:rsidP="00F14F81">
            <w:pPr>
              <w:spacing w:after="0"/>
              <w:ind w:firstLine="851"/>
              <w:jc w:val="both"/>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 Legii nr. 98/2012 privind administraţia publică centrală de specialitate;</w:t>
            </w:r>
          </w:p>
          <w:p w:rsidR="005B2F5F" w:rsidRPr="0017206D" w:rsidRDefault="005B2F5F" w:rsidP="00F14F81">
            <w:pPr>
              <w:spacing w:after="0"/>
              <w:ind w:firstLine="851"/>
              <w:jc w:val="both"/>
              <w:rPr>
                <w:rFonts w:ascii="Times New Roman" w:hAnsi="Times New Roman" w:cs="Times New Roman"/>
                <w:sz w:val="24"/>
                <w:szCs w:val="24"/>
              </w:rPr>
            </w:pPr>
            <w:r w:rsidRPr="0017206D">
              <w:rPr>
                <w:rFonts w:ascii="Times New Roman" w:hAnsi="Times New Roman" w:cs="Times New Roman"/>
                <w:sz w:val="24"/>
                <w:szCs w:val="24"/>
              </w:rPr>
              <w:t>Legii nr. 119/2004 cu privire la produsele de uz fitosanitar și la fertilizanți, care stipulează expres că ”Omologarea, inclusiv prin recunoaşterea autorizaţiei, precum şi înregistrarea produselor de uz fitosanitar şi a fertilizanţilor se efectuează de către Centrul de Stat pentru Atestarea şi Omologarea Produselor de Uz Fitosanitar şi a Fertilizanţilor;</w:t>
            </w:r>
          </w:p>
          <w:p w:rsidR="005B2F5F" w:rsidRPr="0017206D" w:rsidRDefault="005B2F5F" w:rsidP="00F14F81">
            <w:pPr>
              <w:spacing w:after="0"/>
              <w:ind w:firstLine="851"/>
              <w:jc w:val="both"/>
              <w:rPr>
                <w:rFonts w:ascii="Times New Roman" w:hAnsi="Times New Roman" w:cs="Times New Roman"/>
                <w:sz w:val="24"/>
                <w:szCs w:val="24"/>
              </w:rPr>
            </w:pPr>
            <w:r w:rsidRPr="0017206D">
              <w:rPr>
                <w:rFonts w:ascii="Times New Roman" w:hAnsi="Times New Roman" w:cs="Times New Roman"/>
                <w:sz w:val="24"/>
                <w:szCs w:val="24"/>
              </w:rPr>
              <w:t>- Legii nr. 100/2017, prevederile căreia stabilesc expres că proiectul actului normativ întocmit în temeiul unui act normativ de nivel superior nu poate depăşi limitele competenţei instituite prin actul de nivel superior şi nici nu poate contraveni scopului, principiilor şi dispoziţiilor acestuia;</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hAnsi="Times New Roman" w:cs="Times New Roman"/>
                <w:sz w:val="24"/>
                <w:szCs w:val="24"/>
              </w:rPr>
              <w:t xml:space="preserve">- Acordului de Asociere Republica Moldova–Uniunea Europeană în perioada 2017–2019, aprobat prin Hotărârea Guvernului nr. 1472 din 30.12.2016, care prevede acțiuni de transpunere a Regulamentului (CE) nr. 1107/2009 privind introducerea pe piață a produselor fitosanitare, art. 75 a căruia prevede expres, că fiecare stat membru al UE este obligat să </w:t>
            </w:r>
            <w:r w:rsidRPr="0017206D">
              <w:rPr>
                <w:rFonts w:ascii="Times New Roman" w:hAnsi="Times New Roman" w:cs="Times New Roman"/>
                <w:b/>
                <w:sz w:val="24"/>
                <w:szCs w:val="24"/>
              </w:rPr>
              <w:t xml:space="preserve">desemneze o autoritate competentă, care să asigure îndeplinirea obligațiilor stabilite în regulamentul dat </w:t>
            </w:r>
            <w:r w:rsidRPr="0017206D">
              <w:rPr>
                <w:rFonts w:ascii="Times New Roman" w:hAnsi="Times New Roman" w:cs="Times New Roman"/>
                <w:i/>
                <w:sz w:val="24"/>
                <w:szCs w:val="24"/>
              </w:rPr>
              <w:t>(se propune Centrul de Stat</w:t>
            </w:r>
            <w:r w:rsidRPr="0017206D">
              <w:rPr>
                <w:rFonts w:ascii="Times New Roman" w:hAnsi="Times New Roman" w:cs="Times New Roman"/>
                <w:sz w:val="24"/>
                <w:szCs w:val="24"/>
              </w:rPr>
              <w:t>),</w:t>
            </w:r>
            <w:r w:rsidRPr="0017206D">
              <w:rPr>
                <w:rFonts w:ascii="Times New Roman" w:hAnsi="Times New Roman" w:cs="Times New Roman"/>
                <w:b/>
                <w:sz w:val="24"/>
                <w:szCs w:val="24"/>
              </w:rPr>
              <w:t xml:space="preserve"> precum și o autoritate națională coordonatoare </w:t>
            </w:r>
            <w:r w:rsidRPr="0017206D">
              <w:rPr>
                <w:rFonts w:ascii="Times New Roman" w:hAnsi="Times New Roman" w:cs="Times New Roman"/>
                <w:sz w:val="24"/>
                <w:szCs w:val="24"/>
              </w:rPr>
              <w:t>(MADRM),</w:t>
            </w:r>
            <w:r w:rsidRPr="0017206D">
              <w:rPr>
                <w:rFonts w:ascii="Times New Roman" w:hAnsi="Times New Roman" w:cs="Times New Roman"/>
                <w:b/>
                <w:sz w:val="24"/>
                <w:szCs w:val="24"/>
              </w:rPr>
              <w:t xml:space="preserve"> care va gestiona și asigura conlucrarea cu autoritățile similare din statele membre ale UE și Comisia Europeană, în vederea autorizării produselor de uz fitosanitar.</w:t>
            </w: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lastRenderedPageBreak/>
              <w:t>2. Stabilirea obiectivelor</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a) Expuneţi obiectivele (care trebuie să fie legate direct de problemă şi cauzele acesteia, formulate cuantificat, măsurabil, fixat în timp şi realist)</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Scopul general al intervenției constă în asigurarea calității, conformității, eficacității, impactului minim asupra sănătății omului și a mediului înconjurător, a produselor de uz fitosanitar și a fertilizanților, omologați pentru utilizare în agricultură.</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Principalele obiective specifice ale intervenţiei statului sunt:</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 crearea autorității competente care să asigure îndeplinirea obligațiilor stabilite în cadrul normativ național (crearea Instituției Publice ”</w:t>
            </w:r>
            <w:r w:rsidRPr="0017206D">
              <w:rPr>
                <w:rFonts w:ascii="Times New Roman" w:hAnsi="Times New Roman" w:cs="Times New Roman"/>
                <w:sz w:val="24"/>
                <w:szCs w:val="24"/>
              </w:rPr>
              <w:t xml:space="preserve"> </w:t>
            </w:r>
            <w:r w:rsidRPr="0017206D">
              <w:rPr>
                <w:rFonts w:ascii="Times New Roman" w:eastAsia="Times New Roman" w:hAnsi="Times New Roman" w:cs="Times New Roman"/>
                <w:sz w:val="24"/>
                <w:szCs w:val="24"/>
                <w:lang w:eastAsia="ru-RU"/>
              </w:rPr>
              <w:t xml:space="preserve">Centrul de Stat pentru Atestarea şi Omologarea Produselor de Uz Fitosanitar şi a Fertilizanţilor”, cu autonomie financiară, subordonate Ministerului Agriculturii, Dezvoltării Regionale şi Mediului cu scopul implementării politicii de stat în domeniul </w:t>
            </w:r>
            <w:r w:rsidRPr="0017206D">
              <w:rPr>
                <w:rFonts w:ascii="Times New Roman" w:hAnsi="Times New Roman" w:cs="Times New Roman"/>
                <w:sz w:val="24"/>
                <w:szCs w:val="24"/>
                <w:shd w:val="clear" w:color="auto" w:fill="FFFFFF"/>
              </w:rPr>
              <w:t xml:space="preserve">organizării </w:t>
            </w:r>
            <w:proofErr w:type="spellStart"/>
            <w:r w:rsidRPr="0017206D">
              <w:rPr>
                <w:rFonts w:ascii="Times New Roman" w:hAnsi="Times New Roman" w:cs="Times New Roman"/>
                <w:sz w:val="24"/>
                <w:szCs w:val="24"/>
                <w:shd w:val="clear" w:color="auto" w:fill="FFFFFF"/>
              </w:rPr>
              <w:t>cercetării-testării-experimentării</w:t>
            </w:r>
            <w:proofErr w:type="spellEnd"/>
            <w:r w:rsidRPr="0017206D">
              <w:rPr>
                <w:rFonts w:ascii="Times New Roman" w:hAnsi="Times New Roman" w:cs="Times New Roman"/>
                <w:sz w:val="24"/>
                <w:szCs w:val="24"/>
                <w:shd w:val="clear" w:color="auto" w:fill="FFFFFF"/>
              </w:rPr>
              <w:t xml:space="preserve"> de stat a produselor de uz fitosanitar şi a fertilizanţilor, omologării, înregistrării și radierii din Registrul de stat a produselor date (anul 2020).</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2) dezvoltarea capacităților instituționale privind expertiza și evaluarea dosarelor toxicologice a produselor de uz fitosanitar și a fertilizanților (instruirea planificată a experților pe </w:t>
            </w:r>
            <w:r w:rsidRPr="0017206D">
              <w:rPr>
                <w:rFonts w:ascii="Times New Roman" w:eastAsia="Times New Roman" w:hAnsi="Times New Roman" w:cs="Times New Roman"/>
                <w:sz w:val="24"/>
                <w:szCs w:val="24"/>
                <w:lang w:eastAsia="ru-RU"/>
              </w:rPr>
              <w:lastRenderedPageBreak/>
              <w:t>domeniile atribuite, anual);</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3) ajustarea structurii instituționale în domeniul vizat din Republica Moldova celei din țările UE, întru asigurarea conlucrării cu autoritățile similare din statele membre ale UE și Comisia Europeană, în vederea autorizării produselor de uz fitosanitar (transpunerea</w:t>
            </w:r>
            <w:r w:rsidRPr="0017206D">
              <w:rPr>
                <w:rFonts w:ascii="Times New Roman" w:hAnsi="Times New Roman" w:cs="Times New Roman"/>
                <w:sz w:val="24"/>
                <w:szCs w:val="24"/>
              </w:rPr>
              <w:t xml:space="preserve"> </w:t>
            </w:r>
            <w:r w:rsidRPr="0017206D">
              <w:rPr>
                <w:rFonts w:ascii="Times New Roman" w:eastAsia="Times New Roman" w:hAnsi="Times New Roman" w:cs="Times New Roman"/>
                <w:sz w:val="24"/>
                <w:szCs w:val="24"/>
                <w:lang w:eastAsia="ru-RU"/>
              </w:rPr>
              <w:t>Regulamentului (CE) nr. 1107/2009 privind introducerea pe piață a produselor fitosanitare, termen de realizare trimestrul IV- 2021);</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4) asigurarea producătorilor agricoli cu produse de uz fitosanitar evaluate și omologate, cu eficiență înaltă, care corespund cerințelor științifice și tehnice și sunt inofensive pentru sănătatea umană și mediului ambiant (reprogramarea Registrului, reconfigurarea metodelor de executare a introducerii datelor, afișarea lor pe pagina web si a sistemului de căutare, termen de realizare-2020-2021);</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5) eficientizarea activității cu impact pozitiv asupra bugetului de stat prin defalcări anuale de mijloace financiare </w:t>
            </w:r>
            <w:r w:rsidRPr="0017206D">
              <w:rPr>
                <w:rFonts w:ascii="Times New Roman" w:eastAsia="Times New Roman" w:hAnsi="Times New Roman" w:cs="Times New Roman"/>
                <w:i/>
                <w:sz w:val="24"/>
                <w:szCs w:val="24"/>
                <w:lang w:eastAsia="ru-RU"/>
              </w:rPr>
              <w:t>(în cazul înregistrării ca entitate plătitoare de TVA în condițiile art. 112 din Codul fiscal nr. 1163-XIII din 24 aprilie 1997).</w:t>
            </w:r>
            <w:r w:rsidRPr="0017206D">
              <w:rPr>
                <w:rFonts w:ascii="Times New Roman" w:eastAsia="Times New Roman" w:hAnsi="Times New Roman" w:cs="Times New Roman"/>
                <w:sz w:val="24"/>
                <w:szCs w:val="24"/>
                <w:lang w:eastAsia="ru-RU"/>
              </w:rPr>
              <w:t xml:space="preserve"> </w:t>
            </w: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lastRenderedPageBreak/>
              <w:t>3. Identificarea opţiunilor</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a) Expuneţi succint opţiunea „a nu face nimic”, care presupune lipsa de intervenţie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
                <w:bCs/>
                <w:sz w:val="24"/>
                <w:szCs w:val="24"/>
                <w:lang w:eastAsia="ja-JP"/>
              </w:rPr>
              <w:t>Opțiunea I.</w:t>
            </w:r>
            <w:r w:rsidRPr="0017206D">
              <w:rPr>
                <w:rFonts w:ascii="Times New Roman" w:eastAsia="Calibri" w:hAnsi="Times New Roman" w:cs="Times New Roman"/>
                <w:bCs/>
                <w:sz w:val="24"/>
                <w:szCs w:val="24"/>
                <w:lang w:eastAsia="ja-JP"/>
              </w:rPr>
              <w:t xml:space="preserve"> „A nu face nimic”.</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1) Neconcordanțe și confuz în prevederile cadrului normativ ce reglementează activitățile în domeniul vizat (ex. Legea nr. 119/2004, Legea nr. 98/2012 în raport cu HG nr. 600/2018).</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2) Cheltuieli suportate de Centrul de Stat în procesul de reorganizare, transmitere a patrimoniului, preavizarea personalului, disponibilizarea angajaților ne angajați prin transfer sau care refuză transferul în cadrul I.P. Laboratorul Central Fitosanitar.</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3) Riscul antrenării în procesul de omologare a persoanelor cu competențe insuficiente pe domeniile vizate;</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4) Defalcările la bugetul de stat vor constitui 0 lei;</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5) Personal disponibilizat (conform organigramei instituției nou create);</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6) Lipsa autorității competente, întru asigurarea concordanței cu cerințele art. 75 din Regulamentul (CE) nr. 1107/2009.</w:t>
            </w:r>
          </w:p>
          <w:p w:rsidR="005B2F5F" w:rsidRPr="0017206D" w:rsidRDefault="005B2F5F" w:rsidP="00F14F81">
            <w:pPr>
              <w:spacing w:after="0"/>
              <w:ind w:firstLine="884"/>
              <w:contextualSpacing/>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Avantaje identificate:</w:t>
            </w:r>
          </w:p>
          <w:p w:rsidR="005B2F5F" w:rsidRPr="0017206D" w:rsidRDefault="005B2F5F" w:rsidP="00F14F81">
            <w:pPr>
              <w:spacing w:after="0"/>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xml:space="preserve">- reducerea unor funcții în statul de personal (director, contabil-șef, alte funcții care se dublează);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 Expuneţi principalele prevederi ale proiectului, cu impact, explicând cum acestea ţintesc cauzele problemei, cu indicarea novaţiilor şi întregului spectru de soluţii/drepturi/obligaţii ce se doresc să fie aprobate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ind w:firstLine="851"/>
              <w:jc w:val="both"/>
              <w:rPr>
                <w:rFonts w:ascii="Times New Roman" w:eastAsia="Times New Roman" w:hAnsi="Times New Roman" w:cs="Times New Roman"/>
                <w:bCs/>
                <w:sz w:val="24"/>
                <w:szCs w:val="24"/>
              </w:rPr>
            </w:pPr>
            <w:r w:rsidRPr="0017206D">
              <w:rPr>
                <w:rFonts w:ascii="Times New Roman" w:eastAsia="Times New Roman" w:hAnsi="Times New Roman" w:cs="Times New Roman"/>
                <w:bCs/>
                <w:sz w:val="24"/>
                <w:szCs w:val="24"/>
              </w:rPr>
              <w:t>Pentru asigurarea implementării politicii statului în anumite subdomenii sau sfere din domeniile de activitate încredinţate ministerului, p</w:t>
            </w:r>
            <w:r w:rsidRPr="0017206D">
              <w:rPr>
                <w:rFonts w:ascii="Times New Roman" w:eastAsia="Times New Roman" w:hAnsi="Times New Roman" w:cs="Times New Roman"/>
                <w:sz w:val="24"/>
                <w:szCs w:val="24"/>
                <w:lang w:eastAsia="ru-RU"/>
              </w:rPr>
              <w:t>rincipalele prevederi ale proiectului</w:t>
            </w:r>
            <w:r w:rsidRPr="0017206D">
              <w:rPr>
                <w:rFonts w:ascii="Times New Roman" w:eastAsia="Times New Roman" w:hAnsi="Times New Roman" w:cs="Times New Roman"/>
                <w:bCs/>
                <w:sz w:val="24"/>
                <w:szCs w:val="24"/>
              </w:rPr>
              <w:t xml:space="preserve"> propus se axează pe efectuarea modificărilor în cadrul normativ în domeniu cu scopul transferării Centrului de stat </w:t>
            </w:r>
            <w:r w:rsidRPr="0017206D">
              <w:rPr>
                <w:rFonts w:ascii="Times New Roman" w:eastAsia="Times New Roman" w:hAnsi="Times New Roman" w:cs="Times New Roman"/>
                <w:b/>
                <w:bCs/>
                <w:sz w:val="24"/>
                <w:szCs w:val="24"/>
              </w:rPr>
              <w:t>din subordinea</w:t>
            </w:r>
            <w:r w:rsidRPr="0017206D">
              <w:rPr>
                <w:rFonts w:ascii="Times New Roman" w:eastAsia="Times New Roman" w:hAnsi="Times New Roman" w:cs="Times New Roman"/>
                <w:bCs/>
                <w:sz w:val="24"/>
                <w:szCs w:val="24"/>
              </w:rPr>
              <w:t xml:space="preserve"> Agenţiei Naţionale pentru Siguranţa Alimentelor în subordinea Ministerului Agriculturii, Dezvoltării Regionale şi Mediului cu forma organizatorică ”Instituție Publică”, astfel cum prevede art. 32 din Legea nr. 98/2012 privind administraţia publică centrală de specialitate.</w:t>
            </w:r>
          </w:p>
          <w:p w:rsidR="005B2F5F" w:rsidRPr="0017206D" w:rsidRDefault="005B2F5F" w:rsidP="00F14F81">
            <w:pPr>
              <w:spacing w:after="0"/>
              <w:ind w:firstLine="851"/>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xml:space="preserve">Autorii optează pentru promovarea proiectului, întrucât aceasta va avea un impact pozitiv asupra entităților responsabile de domeniul gestionării produselor de uz fitosanitar, va restabili </w:t>
            </w:r>
            <w:r w:rsidRPr="0017206D">
              <w:rPr>
                <w:rFonts w:ascii="Times New Roman" w:eastAsia="Calibri" w:hAnsi="Times New Roman" w:cs="Times New Roman"/>
                <w:sz w:val="24"/>
                <w:szCs w:val="24"/>
              </w:rPr>
              <w:t xml:space="preserve">credibilitatea și imaginea instituției, va avea impact asupra Bugetului de stat prin diverse </w:t>
            </w:r>
            <w:r w:rsidRPr="0017206D">
              <w:rPr>
                <w:rFonts w:ascii="Times New Roman" w:eastAsia="Calibri" w:hAnsi="Times New Roman" w:cs="Times New Roman"/>
                <w:sz w:val="24"/>
                <w:szCs w:val="24"/>
              </w:rPr>
              <w:lastRenderedPageBreak/>
              <w:t xml:space="preserve">defalcări, va menține colectivul de specialiști calificați, instruiți local și peste hotare în domeniul omologării, inclusiv prin procedura de recunoaștere a autorizațiilor eliberate de statele UE pentru produsele de uz fitosanitar și fertilizanți. </w:t>
            </w:r>
          </w:p>
          <w:p w:rsidR="005B2F5F" w:rsidRPr="0017206D" w:rsidRDefault="005B2F5F" w:rsidP="00F14F81">
            <w:pPr>
              <w:spacing w:after="0"/>
              <w:ind w:left="34" w:firstLine="850"/>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Menținerea autonomiei Centrului de Stat, ca entitate separată va asigura realizarea cerințelor Regulamentului (CE) nr. 1107/2009 privind introducerea pe piață a produselor fitosanitare, ce vizează responsabilitatea Republicii Moldova de a desemna o autoritate competentă care să asigure îndeplinirea obligațiilor stabilite în Regulamentul menționat.</w:t>
            </w:r>
          </w:p>
          <w:p w:rsidR="005B2F5F" w:rsidRPr="0017206D" w:rsidRDefault="005B2F5F" w:rsidP="00F14F81">
            <w:pPr>
              <w:spacing w:after="0"/>
              <w:ind w:left="34" w:firstLine="850"/>
              <w:jc w:val="both"/>
              <w:rPr>
                <w:rFonts w:ascii="Times New Roman" w:eastAsia="Calibri" w:hAnsi="Times New Roman" w:cs="Times New Roman"/>
                <w:bCs/>
                <w:sz w:val="24"/>
                <w:szCs w:val="24"/>
                <w:lang w:eastAsia="ja-JP"/>
              </w:rPr>
            </w:pP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
                <w:bCs/>
                <w:sz w:val="24"/>
                <w:szCs w:val="24"/>
                <w:lang w:eastAsia="ja-JP"/>
              </w:rPr>
              <w:t>Opțiunea II</w:t>
            </w:r>
            <w:r w:rsidRPr="0017206D">
              <w:rPr>
                <w:rFonts w:ascii="Times New Roman" w:eastAsia="Calibri" w:hAnsi="Times New Roman" w:cs="Times New Roman"/>
                <w:bCs/>
                <w:sz w:val="24"/>
                <w:szCs w:val="24"/>
                <w:lang w:eastAsia="ja-JP"/>
              </w:rPr>
              <w:t xml:space="preserve"> - ”promovarea proiectului”, comparativ cu opțiunea ”a nu face nimic” va avea beneficiu referitor la:</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1) Asigurarea concordanței între normele legii și a hotărârilor de Guvern;</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2) Menținerea specificului activităților, axate pe formarea unui sortiment eficient de produse de protecție a plantelor și fertilizanți, destinați utilizării în agricultura silvicultură;</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3) Asigurarea respectării principiilor uniforme de evaluare și autorizare a produselor fitosanitare;</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4) Asigurarea coerenței legislative și instituționale cu cerințele actelor UE;</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5) Respectarea obiectivității și imparțialității în procesul de omologare a produselor de uz fitosanitar și a fertilizanților.</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6) Economisirea mijloacelor financiare publice pentru reorganizarea prevăzută.</w:t>
            </w: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xml:space="preserve">7) Defalcarea mijloacelor financiare obținute din activitatea economico-financiară în bugetul de stat. </w:t>
            </w:r>
          </w:p>
          <w:p w:rsidR="005B2F5F" w:rsidRPr="0017206D" w:rsidRDefault="005B2F5F" w:rsidP="00F14F81">
            <w:pPr>
              <w:spacing w:after="0"/>
              <w:ind w:firstLine="885"/>
              <w:jc w:val="center"/>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Taxa pe valoare adăugată</w:t>
            </w:r>
          </w:p>
          <w:p w:rsidR="005B2F5F" w:rsidRPr="0017206D" w:rsidRDefault="005B2F5F" w:rsidP="00F14F81">
            <w:pPr>
              <w:spacing w:after="0"/>
              <w:ind w:firstLine="885"/>
              <w:jc w:val="center"/>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transferata la Bugetul de stat, conform prevederilor Titlului III al Codului fiscal</w:t>
            </w:r>
          </w:p>
          <w:tbl>
            <w:tblPr>
              <w:tblpPr w:leftFromText="180" w:rightFromText="180" w:vertAnchor="text" w:horzAnchor="margin" w:tblpXSpec="center" w:tblpY="25"/>
              <w:tblOverlap w:val="never"/>
              <w:tblW w:w="8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1512"/>
              <w:gridCol w:w="1402"/>
              <w:gridCol w:w="1265"/>
              <w:gridCol w:w="1155"/>
            </w:tblGrid>
            <w:tr w:rsidR="005B2F5F" w:rsidRPr="0017206D" w:rsidTr="00F14F81">
              <w:tc>
                <w:tcPr>
                  <w:tcW w:w="274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sz w:val="24"/>
                      <w:szCs w:val="24"/>
                      <w:lang w:eastAsia="ru-RU"/>
                    </w:rPr>
                    <w:t>TVA</w:t>
                  </w:r>
                </w:p>
              </w:tc>
              <w:tc>
                <w:tcPr>
                  <w:tcW w:w="5334" w:type="dxa"/>
                  <w:gridSpan w:val="4"/>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Anul</w:t>
                  </w:r>
                </w:p>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
                      <w:bCs/>
                      <w:sz w:val="24"/>
                      <w:szCs w:val="24"/>
                      <w:lang w:eastAsia="ru-RU"/>
                    </w:rPr>
                  </w:pPr>
                </w:p>
              </w:tc>
            </w:tr>
            <w:tr w:rsidR="005B2F5F" w:rsidRPr="0017206D" w:rsidTr="00F14F81">
              <w:tc>
                <w:tcPr>
                  <w:tcW w:w="274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p>
              </w:tc>
              <w:tc>
                <w:tcPr>
                  <w:tcW w:w="1512"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2015</w:t>
                  </w:r>
                </w:p>
              </w:tc>
              <w:tc>
                <w:tcPr>
                  <w:tcW w:w="1402"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2016</w:t>
                  </w:r>
                </w:p>
              </w:tc>
              <w:tc>
                <w:tcPr>
                  <w:tcW w:w="1265"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2017</w:t>
                  </w:r>
                </w:p>
              </w:tc>
              <w:tc>
                <w:tcPr>
                  <w:tcW w:w="1155"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2018</w:t>
                  </w:r>
                </w:p>
              </w:tc>
            </w:tr>
            <w:tr w:rsidR="005B2F5F" w:rsidRPr="0017206D" w:rsidTr="00F14F81">
              <w:tc>
                <w:tcPr>
                  <w:tcW w:w="2741"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Mii lei</w:t>
                  </w:r>
                </w:p>
              </w:tc>
              <w:tc>
                <w:tcPr>
                  <w:tcW w:w="1512"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2787.9</w:t>
                  </w:r>
                </w:p>
              </w:tc>
              <w:tc>
                <w:tcPr>
                  <w:tcW w:w="1402"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3430.6</w:t>
                  </w:r>
                </w:p>
              </w:tc>
              <w:tc>
                <w:tcPr>
                  <w:tcW w:w="1265"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4312.4</w:t>
                  </w:r>
                </w:p>
              </w:tc>
              <w:tc>
                <w:tcPr>
                  <w:tcW w:w="1155" w:type="dxa"/>
                </w:tcPr>
                <w:p w:rsidR="005B2F5F" w:rsidRPr="0017206D" w:rsidRDefault="005B2F5F" w:rsidP="00F14F81">
                  <w:pPr>
                    <w:overflowPunct w:val="0"/>
                    <w:autoSpaceDE w:val="0"/>
                    <w:autoSpaceDN w:val="0"/>
                    <w:adjustRightInd w:val="0"/>
                    <w:spacing w:after="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bCs/>
                      <w:sz w:val="24"/>
                      <w:szCs w:val="24"/>
                      <w:lang w:eastAsia="ru-RU"/>
                    </w:rPr>
                    <w:t>4583.9</w:t>
                  </w:r>
                </w:p>
              </w:tc>
            </w:tr>
          </w:tbl>
          <w:p w:rsidR="005B2F5F" w:rsidRPr="0017206D" w:rsidRDefault="005B2F5F" w:rsidP="00F14F81">
            <w:pPr>
              <w:overflowPunct w:val="0"/>
              <w:autoSpaceDE w:val="0"/>
              <w:autoSpaceDN w:val="0"/>
              <w:adjustRightInd w:val="0"/>
              <w:spacing w:after="0"/>
              <w:ind w:firstLine="708"/>
              <w:jc w:val="center"/>
              <w:textAlignment w:val="baseline"/>
              <w:rPr>
                <w:rFonts w:ascii="Times New Roman" w:eastAsia="Times New Roman" w:hAnsi="Times New Roman" w:cs="Times New Roman"/>
                <w:bCs/>
                <w:sz w:val="24"/>
                <w:szCs w:val="24"/>
                <w:lang w:eastAsia="ru-RU"/>
              </w:rPr>
            </w:pPr>
          </w:p>
          <w:p w:rsidR="005B2F5F" w:rsidRPr="0017206D" w:rsidRDefault="005B2F5F" w:rsidP="00F14F81">
            <w:pPr>
              <w:spacing w:after="0"/>
              <w:ind w:firstLine="885"/>
              <w:jc w:val="both"/>
              <w:rPr>
                <w:rFonts w:ascii="Times New Roman" w:eastAsia="Calibri" w:hAnsi="Times New Roman" w:cs="Times New Roman"/>
                <w:bCs/>
                <w:sz w:val="24"/>
                <w:szCs w:val="24"/>
                <w:lang w:eastAsia="ja-JP"/>
              </w:rPr>
            </w:pPr>
          </w:p>
          <w:p w:rsidR="005B2F5F" w:rsidRPr="0017206D" w:rsidRDefault="005B2F5F" w:rsidP="00F14F81">
            <w:pPr>
              <w:overflowPunct w:val="0"/>
              <w:autoSpaceDE w:val="0"/>
              <w:autoSpaceDN w:val="0"/>
              <w:adjustRightInd w:val="0"/>
              <w:spacing w:after="0"/>
              <w:ind w:firstLine="850"/>
              <w:jc w:val="both"/>
              <w:textAlignment w:val="baseline"/>
              <w:rPr>
                <w:rFonts w:ascii="Times New Roman" w:eastAsia="Times New Roman" w:hAnsi="Times New Roman" w:cs="Times New Roman"/>
                <w:bCs/>
                <w:sz w:val="24"/>
                <w:szCs w:val="24"/>
                <w:lang w:eastAsia="ru-RU"/>
              </w:rPr>
            </w:pPr>
            <w:r w:rsidRPr="0017206D">
              <w:rPr>
                <w:rFonts w:ascii="Times New Roman" w:eastAsia="Times New Roman" w:hAnsi="Times New Roman" w:cs="Times New Roman"/>
                <w:sz w:val="24"/>
                <w:szCs w:val="24"/>
                <w:lang w:eastAsia="ru-RU"/>
              </w:rPr>
              <w:t xml:space="preserve">Totodată, suplimentar taxei pe valoare adăugate, vor fi asigurate defalcări din profitul net calculate si transferate în Bugetul de stat (ca exemplu în anul 2018 au fost transferate </w:t>
            </w:r>
            <w:r w:rsidRPr="0017206D">
              <w:rPr>
                <w:rFonts w:ascii="Times New Roman" w:eastAsia="Times New Roman" w:hAnsi="Times New Roman" w:cs="Times New Roman"/>
                <w:bCs/>
                <w:sz w:val="24"/>
                <w:szCs w:val="24"/>
                <w:lang w:eastAsia="ru-RU"/>
              </w:rPr>
              <w:t xml:space="preserve">1, 021 </w:t>
            </w:r>
            <w:proofErr w:type="spellStart"/>
            <w:r w:rsidRPr="0017206D">
              <w:rPr>
                <w:rFonts w:ascii="Times New Roman" w:eastAsia="Times New Roman" w:hAnsi="Times New Roman" w:cs="Times New Roman"/>
                <w:bCs/>
                <w:sz w:val="24"/>
                <w:szCs w:val="24"/>
                <w:lang w:eastAsia="ru-RU"/>
              </w:rPr>
              <w:t>mln</w:t>
            </w:r>
            <w:proofErr w:type="spellEnd"/>
            <w:r w:rsidRPr="0017206D">
              <w:rPr>
                <w:rFonts w:ascii="Times New Roman" w:eastAsia="Times New Roman" w:hAnsi="Times New Roman" w:cs="Times New Roman"/>
                <w:bCs/>
                <w:sz w:val="24"/>
                <w:szCs w:val="24"/>
                <w:lang w:eastAsia="ru-RU"/>
              </w:rPr>
              <w:t>. lei.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lastRenderedPageBreak/>
              <w:t>c) Expuneţi opţiunile alternative analizate sau explicaţi motivul de ce acestea nu au fost luate în considerare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Pentru promovarea proiectului propus, a fost analizată opțiunea alternativă ”a nu face nimic”, opțiune care nu este agreată din următoarele considerente:</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Supremația Legii (Contradicții dintre normele Hotărârii Guvernului nr. 600/2018 în raport cu prevederile Legii nr. 119/2004); </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Opinia colectivului Centrului de Stat, referitor la menținerea întreprinderii ca entitate separată, în subordinea Ministerului Agriculturii, Dezvoltării Regionale şi Mediului (prin anularea procesului de reorganizare prin fuziune (absorbție) de către I.P. Laboratorul Central Fitosanitar),  expusă în petițiile colective nr. 08-1939/19 din 15 iulie 2019 și nr. 06/4-06-2304 din 21.11.2019 adresată dlui Igor </w:t>
            </w:r>
            <w:proofErr w:type="spellStart"/>
            <w:r w:rsidRPr="0017206D">
              <w:rPr>
                <w:rFonts w:ascii="Times New Roman" w:eastAsia="Times New Roman" w:hAnsi="Times New Roman" w:cs="Times New Roman"/>
                <w:sz w:val="24"/>
                <w:szCs w:val="24"/>
                <w:lang w:eastAsia="ru-RU"/>
              </w:rPr>
              <w:t>Dodon</w:t>
            </w:r>
            <w:proofErr w:type="spellEnd"/>
            <w:r w:rsidRPr="0017206D">
              <w:rPr>
                <w:rFonts w:ascii="Times New Roman" w:eastAsia="Times New Roman" w:hAnsi="Times New Roman" w:cs="Times New Roman"/>
                <w:sz w:val="24"/>
                <w:szCs w:val="24"/>
                <w:lang w:eastAsia="ru-RU"/>
              </w:rPr>
              <w:t xml:space="preserve">, Președinte al Republicii Moldova; </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Opinia reprezentanților mediului de afaceri din domeniu, expusă în cadrul ședinței din data de 11.10.2019 (proces verbal din 11.10.2019, </w:t>
            </w:r>
            <w:r w:rsidRPr="0017206D">
              <w:rPr>
                <w:rFonts w:ascii="Times New Roman" w:eastAsia="Times New Roman" w:hAnsi="Times New Roman" w:cs="Times New Roman"/>
                <w:i/>
                <w:sz w:val="24"/>
                <w:szCs w:val="24"/>
                <w:lang w:eastAsia="ru-RU"/>
              </w:rPr>
              <w:t>participanți 21 persoane);</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Lipsa autorității competente, întru asigurarea concordanței cu cerințele art. 75 din </w:t>
            </w:r>
            <w:r w:rsidRPr="0017206D">
              <w:rPr>
                <w:rFonts w:ascii="Times New Roman" w:eastAsia="Times New Roman" w:hAnsi="Times New Roman" w:cs="Times New Roman"/>
                <w:sz w:val="24"/>
                <w:szCs w:val="24"/>
                <w:lang w:eastAsia="ru-RU"/>
              </w:rPr>
              <w:lastRenderedPageBreak/>
              <w:t xml:space="preserve">Regulamentul (CE) nr. 1107/2009, preconizat armonizării pentru anul 2019, conform Acordului de Asociere RM-UE. </w:t>
            </w:r>
          </w:p>
          <w:p w:rsidR="005B2F5F" w:rsidRPr="0017206D" w:rsidRDefault="005B2F5F" w:rsidP="00F14F81">
            <w:pPr>
              <w:widowControl w:val="0"/>
              <w:suppressAutoHyphens/>
              <w:autoSpaceDN w:val="0"/>
              <w:spacing w:after="0"/>
              <w:ind w:right="-1" w:firstLine="708"/>
              <w:jc w:val="both"/>
              <w:textAlignment w:val="baseline"/>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lastRenderedPageBreak/>
              <w:t>4. Analiza impacturilor opţiunilor</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w:t>
            </w:r>
            <w:r w:rsidRPr="00F41BFA">
              <w:rPr>
                <w:rFonts w:ascii="Times New Roman" w:eastAsia="Times New Roman" w:hAnsi="Times New Roman" w:cs="Times New Roman"/>
                <w:sz w:val="20"/>
                <w:szCs w:val="20"/>
                <w:lang w:eastAsia="ru-RU"/>
              </w:rPr>
              <w:t>) Expuneţi efectele negative şi pozitive ale stării actuale şi evoluţia acestora în viitor, care vor sta la baza calculării impacturilor opţiunii recomandate</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Efecte negative: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neconcordanța între normele legii și a hotărârilor de Guvern;</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dificultate în activitatea Centrului de Stat;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sistarea ședințelor Consiliului Republican Interdepartamental pentru Atestarea și Omologarea PUFF din cauza deficiențelor normelor din cadrul normativ;</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instabilitate în cadrul colectivului;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minimizarea numărului de cereri privind omologarea produselor;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activități de reorganizare a întreprinderii care vin în detrimentul activității de bază a Centrului de Stat.</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Efecte pozitive ale stării actuale nu au fost identificate.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w:t>
            </w:r>
            <w:r w:rsidRPr="00F41BFA">
              <w:rPr>
                <w:rFonts w:ascii="Times New Roman" w:eastAsia="Times New Roman" w:hAnsi="Times New Roman" w:cs="Times New Roman"/>
                <w:sz w:val="20"/>
                <w:szCs w:val="20"/>
                <w:vertAlign w:val="superscript"/>
                <w:lang w:eastAsia="ru-RU"/>
              </w:rPr>
              <w:t>1</w:t>
            </w:r>
            <w:r w:rsidRPr="00F41BFA">
              <w:rPr>
                <w:rFonts w:ascii="Times New Roman" w:eastAsia="Times New Roman" w:hAnsi="Times New Roman" w:cs="Times New Roman"/>
                <w:sz w:val="20"/>
                <w:szCs w:val="20"/>
                <w:lang w:eastAsia="ru-RU"/>
              </w:rPr>
              <w:t>) Pentru opţiunea recomandată, identificaţi impacturile completând tabelul din anexa la prezentul formular. Descrieţi pe larg impacturile sub formă de costuri sau beneficii, inclusiv părţile interesate care ar putea fi afectate pozitiv şi negativ de acestea.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Formular completat (anexă).</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Pentru opțiunea ”a nu face nimic”</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povara administrativă pentru Centrul de stat este apreciată cu cifra +1, dat fiind că aprobarea proiectului va scuti întreprinderea de cheltuieli de reorganizare, transfer de patrimoniu, disponibilizare de personal calificat, riscul schimbării sediului, pierderea acreditării laboratorului: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cadrul instituțional al autorităților publice, este apreciat cu cifra +1. Modificările propuse în proiect vor genera venituri la Bugetul de Stat, Centrul fiind transferat în subordinea MADRM ca Instituție Publică înregistrată ca plătitor de TVA, în condițiile art. 112 din Codul fiscal nr. 1163-XIII din 24 aprilie 1997.</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w:t>
            </w:r>
            <w:r w:rsidRPr="00F41BFA">
              <w:rPr>
                <w:rFonts w:ascii="Times New Roman" w:eastAsia="Times New Roman" w:hAnsi="Times New Roman" w:cs="Times New Roman"/>
                <w:sz w:val="20"/>
                <w:szCs w:val="20"/>
                <w:vertAlign w:val="superscript"/>
                <w:lang w:eastAsia="ru-RU"/>
              </w:rPr>
              <w:t>2</w:t>
            </w:r>
            <w:r w:rsidRPr="00F41BFA">
              <w:rPr>
                <w:rFonts w:ascii="Times New Roman" w:eastAsia="Times New Roman" w:hAnsi="Times New Roman" w:cs="Times New Roman"/>
                <w:sz w:val="20"/>
                <w:szCs w:val="20"/>
                <w:lang w:eastAsia="ru-RU"/>
              </w:rPr>
              <w:t>) Pentru opţiunile alternative analizate, identificaţi impacturile completând tabelul din anexa la prezentul formular. Descrieţi pe larg impacturile sub formă de costuri sau beneficii, inclusiv părţile interesate care ar putea fi afectate pozitiv şi negativ de acestea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Normele proiectului propus vor genera impact pozitiv asupra solicitanților omologării, va restabili credibilitatea Centrului de Stat, prin majorarea numărului de solicitări pentru omologare a produselor de uz fitosanitar (cereri) la nivelul anului 2018 (47 firme), comparativ cu anul 2019- 33 firme.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Aprobarea proiectului de hotărâre de Guvern (Opțiunea II) va impulsiona activitatea Centrului de Stat prin reversiunea indicilor economico - financiari, care, urmare a reorganizării conform H.G. nr. 600/2018, s-au micșorat  (numărul total de testări-cercetări a eficacității biologice a produselor cu 26 % și a sumei mijloacelor financiare încasate cu 28,3 %).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Părțile afectate pozitiv sunt, producătorii agricoli, colectivul, solicitanții omologării, distribuitorii produselor, Reprezentanța Companiile străine producătoare a pesticidelor și fertilizanților în RM, bugetul de stat. </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lastRenderedPageBreak/>
              <w:t>c) Pentru opţiunile analizate, expuneţi cele mai relevante/iminente riscuri care pot duce la eşecul intervenţiei şi/sau schimba substanţial valoarea beneficiilor şi costurilor estimate şi prezentaţi presupuneri privind gradul de conformare cu prevederile proiectului a celor vizaţi în acesta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Riscurile iminente care pot cauza eșecul intervenției preconizate sunt determinate de următoarele: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Viziunea politică a autorităților publice centrale asupra problemei date;</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Opinii contradictorii ale subiecților implicați;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Influența tendențioasă a unor factori de decizie.</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b/>
                <w:bCs/>
                <w:sz w:val="20"/>
                <w:szCs w:val="20"/>
                <w:u w:val="single"/>
                <w:lang w:eastAsia="ru-RU"/>
              </w:rPr>
              <w:t>Concluzie</w:t>
            </w:r>
            <w:r w:rsidRPr="00F41BFA">
              <w:rPr>
                <w:rFonts w:ascii="Times New Roman" w:eastAsia="Times New Roman" w:hAnsi="Times New Roman" w:cs="Times New Roman"/>
                <w:sz w:val="20"/>
                <w:szCs w:val="20"/>
                <w:lang w:eastAsia="ru-RU"/>
              </w:rPr>
              <w:t xml:space="preserve"> </w:t>
            </w:r>
          </w:p>
          <w:p w:rsidR="005B2F5F" w:rsidRPr="0017206D" w:rsidRDefault="005B2F5F" w:rsidP="00F14F81">
            <w:pPr>
              <w:spacing w:after="0"/>
              <w:jc w:val="both"/>
              <w:rPr>
                <w:rFonts w:ascii="Times New Roman" w:eastAsia="Times New Roman" w:hAnsi="Times New Roman" w:cs="Times New Roman"/>
                <w:sz w:val="24"/>
                <w:szCs w:val="24"/>
                <w:lang w:eastAsia="ru-RU"/>
              </w:rPr>
            </w:pPr>
            <w:r w:rsidRPr="00F41BFA">
              <w:rPr>
                <w:rFonts w:ascii="Times New Roman" w:eastAsia="Times New Roman" w:hAnsi="Times New Roman" w:cs="Times New Roman"/>
                <w:sz w:val="20"/>
                <w:szCs w:val="20"/>
                <w:lang w:eastAsia="ru-RU"/>
              </w:rPr>
              <w:t>e) Argumentaţi selectarea unei opţiunii, în baza atingerii obiectivelor, beneficiilor şi costurilor, precum şi a asigurării celui mai mic impact negativ asupra celor afectaţi.</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sz w:val="24"/>
                <w:szCs w:val="24"/>
                <w:lang w:eastAsia="ru-RU"/>
              </w:rPr>
              <w:t>Opțiunea II</w:t>
            </w:r>
            <w:r w:rsidRPr="0017206D">
              <w:rPr>
                <w:rFonts w:ascii="Times New Roman" w:eastAsia="Times New Roman" w:hAnsi="Times New Roman" w:cs="Times New Roman"/>
                <w:sz w:val="24"/>
                <w:szCs w:val="24"/>
                <w:lang w:eastAsia="ru-RU"/>
              </w:rPr>
              <w:t xml:space="preserve"> este evaluată ca fiind una cu impact pozitiv asupra subiecților implicați și întrunește cerințele cadrului normativ care va asigura funcționarea eficientă a Instituției Publice ”Centrul de stat pentru atestarea și omologarea produselor de uz fitosanitar și a fertilizanților”.</w:t>
            </w:r>
          </w:p>
          <w:p w:rsidR="005B2F5F" w:rsidRPr="0017206D" w:rsidRDefault="005B2F5F" w:rsidP="00F14F81">
            <w:pPr>
              <w:spacing w:after="0"/>
              <w:ind w:left="34" w:firstLine="850"/>
              <w:jc w:val="both"/>
              <w:rPr>
                <w:rFonts w:ascii="Times New Roman" w:eastAsia="Calibri" w:hAnsi="Times New Roman" w:cs="Times New Roman"/>
                <w:bCs/>
                <w:sz w:val="24"/>
                <w:szCs w:val="24"/>
                <w:lang w:eastAsia="ja-JP"/>
              </w:rPr>
            </w:pPr>
            <w:r w:rsidRPr="0017206D">
              <w:rPr>
                <w:rFonts w:ascii="Times New Roman" w:eastAsia="Times New Roman" w:hAnsi="Times New Roman" w:cs="Times New Roman"/>
                <w:sz w:val="24"/>
                <w:szCs w:val="24"/>
                <w:lang w:eastAsia="ru-RU"/>
              </w:rPr>
              <w:t xml:space="preserve">Susținerea opțiunii propuse  referitor la menținerea autonomiei </w:t>
            </w:r>
            <w:r w:rsidRPr="0017206D">
              <w:rPr>
                <w:rFonts w:ascii="Times New Roman" w:eastAsia="Calibri" w:hAnsi="Times New Roman" w:cs="Times New Roman"/>
                <w:bCs/>
                <w:sz w:val="24"/>
                <w:szCs w:val="24"/>
                <w:lang w:eastAsia="ja-JP"/>
              </w:rPr>
              <w:t>Centrului de Sta va asigura:</w:t>
            </w:r>
          </w:p>
          <w:p w:rsidR="005B2F5F" w:rsidRPr="0017206D" w:rsidRDefault="005B2F5F" w:rsidP="00F14F81">
            <w:pPr>
              <w:spacing w:after="0"/>
              <w:ind w:firstLine="851"/>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transpunerea cerințelor Regulamentului (CE) nr. 1107/2009 privind introducerea pe piață a produselor fitosanitare;</w:t>
            </w:r>
          </w:p>
          <w:p w:rsidR="005B2F5F" w:rsidRPr="0017206D" w:rsidRDefault="005B2F5F" w:rsidP="00F14F81">
            <w:pPr>
              <w:spacing w:after="0"/>
              <w:ind w:left="34" w:firstLine="850"/>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realizarea responsabilității Republicii Moldova de desemnare a unei autorități competente care să asigure îndeplinirea obligațiilor stabilite în Regulamentul menționat.</w:t>
            </w:r>
          </w:p>
          <w:p w:rsidR="005B2F5F" w:rsidRPr="0017206D" w:rsidRDefault="005B2F5F" w:rsidP="00F14F81">
            <w:pPr>
              <w:spacing w:after="0"/>
              <w:ind w:firstLine="851"/>
              <w:jc w:val="both"/>
              <w:rPr>
                <w:rFonts w:ascii="Times New Roman" w:eastAsia="Calibri" w:hAnsi="Times New Roman" w:cs="Times New Roman"/>
                <w:bCs/>
                <w:sz w:val="24"/>
                <w:szCs w:val="24"/>
                <w:lang w:eastAsia="ja-JP"/>
              </w:rPr>
            </w:pPr>
            <w:r w:rsidRPr="0017206D">
              <w:rPr>
                <w:rFonts w:ascii="Times New Roman" w:eastAsia="Calibri" w:hAnsi="Times New Roman" w:cs="Times New Roman"/>
                <w:bCs/>
                <w:sz w:val="24"/>
                <w:szCs w:val="24"/>
                <w:lang w:eastAsia="ja-JP"/>
              </w:rPr>
              <w:t>- impact pozitiv asupra entităților responsabile de domeniul gestionării produselor de uz fitosanitar;</w:t>
            </w:r>
          </w:p>
          <w:p w:rsidR="005B2F5F" w:rsidRPr="0017206D" w:rsidRDefault="005B2F5F" w:rsidP="00F14F81">
            <w:pPr>
              <w:spacing w:after="0"/>
              <w:ind w:firstLine="851"/>
              <w:jc w:val="both"/>
              <w:rPr>
                <w:rFonts w:ascii="Times New Roman" w:eastAsia="Calibri" w:hAnsi="Times New Roman" w:cs="Times New Roman"/>
                <w:sz w:val="24"/>
                <w:szCs w:val="24"/>
              </w:rPr>
            </w:pPr>
            <w:r w:rsidRPr="0017206D">
              <w:rPr>
                <w:rFonts w:ascii="Times New Roman" w:eastAsia="Calibri" w:hAnsi="Times New Roman" w:cs="Times New Roman"/>
                <w:bCs/>
                <w:sz w:val="24"/>
                <w:szCs w:val="24"/>
                <w:lang w:eastAsia="ja-JP"/>
              </w:rPr>
              <w:t xml:space="preserve">- restabilirea </w:t>
            </w:r>
            <w:r w:rsidRPr="0017206D">
              <w:rPr>
                <w:rFonts w:ascii="Times New Roman" w:eastAsia="Calibri" w:hAnsi="Times New Roman" w:cs="Times New Roman"/>
                <w:sz w:val="24"/>
                <w:szCs w:val="24"/>
              </w:rPr>
              <w:t>credibilității și imaginii instituției, atât la nivel local, cât și regional;</w:t>
            </w:r>
          </w:p>
          <w:p w:rsidR="005B2F5F" w:rsidRPr="0017206D" w:rsidRDefault="005B2F5F" w:rsidP="00F14F81">
            <w:pPr>
              <w:spacing w:after="0"/>
              <w:ind w:firstLine="851"/>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impact pozitiv supra Bugetului de stat prin diverse defalcări;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Calibri" w:hAnsi="Times New Roman" w:cs="Times New Roman"/>
                <w:sz w:val="24"/>
                <w:szCs w:val="24"/>
              </w:rPr>
              <w:t xml:space="preserve">- menținerea colectivului de specialiști calificați, instruiți local și peste hotare în domeniul omologării, inclusiv prin procedura de recunoaștere a autorizațiilor eliberate de statele UE pentru produsele de uz fitosanitar și fertilizanți. </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5. Implementarea şi monitorizarea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ind w:firstLine="851"/>
              <w:jc w:val="both"/>
              <w:rPr>
                <w:rFonts w:ascii="Times New Roman" w:eastAsia="Calibri" w:hAnsi="Times New Roman" w:cs="Times New Roman"/>
                <w:bCs/>
                <w:sz w:val="20"/>
                <w:szCs w:val="20"/>
                <w:lang w:eastAsia="ja-JP"/>
              </w:rPr>
            </w:pPr>
            <w:r w:rsidRPr="00F41BFA">
              <w:rPr>
                <w:rFonts w:ascii="Times New Roman" w:eastAsia="Times New Roman" w:hAnsi="Times New Roman" w:cs="Times New Roman"/>
                <w:sz w:val="20"/>
                <w:szCs w:val="20"/>
                <w:lang w:eastAsia="ru-RU"/>
              </w:rPr>
              <w:t>a) Descrieţi cum va fi organizată implementarea opţiunii recomandate, ce cadru juridic necesită a fi modificat şi/sau elaborat şi aprobat, ce schimbări instituţionale sunt necesare</w:t>
            </w: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Activitatea Centrului de stat este reglementată și se implementează în strictă conformitate cu cadrul normativ național existent, în domeniul vizat:</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Legea nr. 119/2004 cu privire la produsele de uz fitosanitar şi la fertilizanţi;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Hotărârea Guvernului nr. 897/1994 cu privire la aprobarea și utilizarea în agricultură a produselor de uz fitosanitar şi a fertilizanţilor;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Hotărârea Guvernului nr. 1307/2005 cu privire la aprobarea Regulamentului privind atestarea şi omologarea de stat a produselor de uz fitosanitar şi a fertilizanţilor pentru utilizare în agricultură şi silvicultură,</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 Hotărârea Guvernului nr. 200/1995 despre aprobarea Regulamentului cu privire la tarifele pentru executarea lucrărilor de </w:t>
            </w:r>
            <w:proofErr w:type="spellStart"/>
            <w:r w:rsidRPr="0017206D">
              <w:rPr>
                <w:rFonts w:ascii="Times New Roman" w:eastAsia="Times New Roman" w:hAnsi="Times New Roman" w:cs="Times New Roman"/>
                <w:sz w:val="24"/>
                <w:szCs w:val="24"/>
                <w:lang w:eastAsia="ru-RU"/>
              </w:rPr>
              <w:t>cercetare-testare-experimentare</w:t>
            </w:r>
            <w:proofErr w:type="spellEnd"/>
            <w:r w:rsidRPr="0017206D">
              <w:rPr>
                <w:rFonts w:ascii="Times New Roman" w:eastAsia="Times New Roman" w:hAnsi="Times New Roman" w:cs="Times New Roman"/>
                <w:sz w:val="24"/>
                <w:szCs w:val="24"/>
                <w:lang w:eastAsia="ru-RU"/>
              </w:rPr>
              <w:t xml:space="preserve"> a produselor de uz fitosanitar şi a fertilizanţilor şi modul de utilizare a mijloacelor băneşti acumulate.</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 Indicaţi clar indicatorii de performanţă în baza cărora se va efectua monitorizarea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Indicii economico-financiari din activitatea de bază;</w:t>
            </w:r>
          </w:p>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Defalcările la bugetul de stat;</w:t>
            </w:r>
          </w:p>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Statele de personal;</w:t>
            </w:r>
          </w:p>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lastRenderedPageBreak/>
              <w:t>Devizul de venituri și cheltuieli;</w:t>
            </w:r>
          </w:p>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Actualizarea Registrului de stat al produselor de uz fitosanitar și al fertilizanților;</w:t>
            </w:r>
          </w:p>
          <w:p w:rsidR="005B2F5F" w:rsidRPr="0017206D" w:rsidRDefault="005B2F5F" w:rsidP="005B2F5F">
            <w:pPr>
              <w:pStyle w:val="a4"/>
              <w:numPr>
                <w:ilvl w:val="0"/>
                <w:numId w:val="1"/>
              </w:num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Sortimentul produselor omologate și celor radiate din Registru, altele.</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lastRenderedPageBreak/>
              <w:t>c) Identificaţi peste cât timp vor fi resimţite impacturile estimate şi este necesară evaluarea performanţei actului normativ propus. Explicaţi cum va fi monitorizată şi evaluată opţiunea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Cadrul normativ prevede că Ministerul Agriculturii, Dezvoltării Regionale și Mediului va crea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condiţiile necesare privind funcţionarea Centrului de stat pentru atestarea şi omologarea produselor de uz fitosanitar şi a fertilizanţilor.</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6. Consultarea</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ind w:firstLine="567"/>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a) Identificaţi principalele părţi (grupuri) interesate în intervenţia propusă</w:t>
            </w: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Proiectului dat va influenţa în mod diferit următoarele grupuri:</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Primul grup îl reprezintă </w:t>
            </w:r>
            <w:r w:rsidRPr="0017206D">
              <w:rPr>
                <w:rFonts w:ascii="Times New Roman" w:eastAsia="Calibri" w:hAnsi="Times New Roman" w:cs="Times New Roman"/>
                <w:bCs/>
                <w:sz w:val="24"/>
                <w:szCs w:val="24"/>
                <w:lang w:eastAsia="ja-JP"/>
              </w:rPr>
              <w:t xml:space="preserve">companiile străine producătoare a produselor de uz fitosanitar; </w:t>
            </w:r>
            <w:r w:rsidRPr="0017206D">
              <w:rPr>
                <w:rFonts w:ascii="Times New Roman" w:eastAsia="Calibri" w:hAnsi="Times New Roman" w:cs="Times New Roman"/>
                <w:sz w:val="24"/>
                <w:szCs w:val="24"/>
              </w:rPr>
              <w:t xml:space="preserve">care îşi manifestă interesul pentru menținerea Centrului de stat ca entitate separată în subordinea Ministerul Agriculturii, Dezvoltării Regionale şi Mediului cu scopul asigurării unei colaborări eficiente în procesul de omologare a produselor. Liderii mondiali ai industriei pesticidelor </w:t>
            </w:r>
            <w:r w:rsidRPr="0017206D">
              <w:rPr>
                <w:rFonts w:ascii="Times New Roman" w:eastAsia="Calibri" w:hAnsi="Times New Roman" w:cs="Times New Roman"/>
                <w:i/>
                <w:sz w:val="24"/>
                <w:szCs w:val="24"/>
              </w:rPr>
              <w:t xml:space="preserve">(Bayer, </w:t>
            </w:r>
            <w:proofErr w:type="spellStart"/>
            <w:r w:rsidRPr="0017206D">
              <w:rPr>
                <w:rFonts w:ascii="Times New Roman" w:eastAsia="Calibri" w:hAnsi="Times New Roman" w:cs="Times New Roman"/>
                <w:i/>
                <w:sz w:val="24"/>
                <w:szCs w:val="24"/>
              </w:rPr>
              <w:t>Adama</w:t>
            </w:r>
            <w:proofErr w:type="spellEnd"/>
            <w:r w:rsidRPr="0017206D">
              <w:rPr>
                <w:rFonts w:ascii="Times New Roman" w:eastAsia="Calibri" w:hAnsi="Times New Roman" w:cs="Times New Roman"/>
                <w:i/>
                <w:sz w:val="24"/>
                <w:szCs w:val="24"/>
              </w:rPr>
              <w:t xml:space="preserve">, </w:t>
            </w:r>
            <w:proofErr w:type="spellStart"/>
            <w:r w:rsidRPr="0017206D">
              <w:rPr>
                <w:rFonts w:ascii="Times New Roman" w:eastAsia="Calibri" w:hAnsi="Times New Roman" w:cs="Times New Roman"/>
                <w:i/>
                <w:sz w:val="24"/>
                <w:szCs w:val="24"/>
              </w:rPr>
              <w:t>Singenta</w:t>
            </w:r>
            <w:proofErr w:type="spellEnd"/>
            <w:r w:rsidRPr="0017206D">
              <w:rPr>
                <w:rFonts w:ascii="Times New Roman" w:eastAsia="Calibri" w:hAnsi="Times New Roman" w:cs="Times New Roman"/>
                <w:i/>
                <w:sz w:val="24"/>
                <w:szCs w:val="24"/>
              </w:rPr>
              <w:t xml:space="preserve">, </w:t>
            </w:r>
            <w:proofErr w:type="spellStart"/>
            <w:r w:rsidRPr="0017206D">
              <w:rPr>
                <w:rFonts w:ascii="Times New Roman" w:eastAsia="Calibri" w:hAnsi="Times New Roman" w:cs="Times New Roman"/>
                <w:i/>
                <w:sz w:val="24"/>
                <w:szCs w:val="24"/>
              </w:rPr>
              <w:t>Basf</w:t>
            </w:r>
            <w:proofErr w:type="spellEnd"/>
            <w:r w:rsidRPr="0017206D">
              <w:rPr>
                <w:rFonts w:ascii="Times New Roman" w:eastAsia="Calibri" w:hAnsi="Times New Roman" w:cs="Times New Roman"/>
                <w:i/>
                <w:sz w:val="24"/>
                <w:szCs w:val="24"/>
              </w:rPr>
              <w:t>),</w:t>
            </w:r>
            <w:r w:rsidRPr="0017206D">
              <w:rPr>
                <w:rFonts w:ascii="Times New Roman" w:eastAsia="Calibri" w:hAnsi="Times New Roman" w:cs="Times New Roman"/>
                <w:sz w:val="24"/>
                <w:szCs w:val="24"/>
              </w:rPr>
              <w:t xml:space="preserve"> consideră că existența unui organism centralizat pentru testare și omologare în Republica Moldova astfel cum este Centrul de stat, reprezintă un exemplu de succes al modului eficient de lucru.</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Al doilea grup este compus din agenții economici solicitanți ai omologării care dețin o bogată experiență de conlucrare cu Centrul de stat, abilitat cu realizarea integrală a activităților de omologare pe segmentul </w:t>
            </w:r>
            <w:r w:rsidRPr="0017206D">
              <w:rPr>
                <w:rFonts w:ascii="Times New Roman" w:eastAsia="Calibri" w:hAnsi="Times New Roman" w:cs="Times New Roman"/>
                <w:b/>
                <w:i/>
                <w:sz w:val="24"/>
                <w:szCs w:val="24"/>
              </w:rPr>
              <w:t>”prezentarea dosarului-obținerea Certificatului de omologare”,</w:t>
            </w:r>
            <w:r w:rsidRPr="0017206D">
              <w:rPr>
                <w:rFonts w:ascii="Times New Roman" w:eastAsia="Calibri" w:hAnsi="Times New Roman" w:cs="Times New Roman"/>
                <w:sz w:val="24"/>
                <w:szCs w:val="24"/>
              </w:rPr>
              <w:t xml:space="preserve"> într-o singură entitate. </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Al treilea grup îl reprezintă producătorii agricoli autohtoni care beneficiază </w:t>
            </w:r>
          </w:p>
          <w:p w:rsidR="005B2F5F" w:rsidRPr="0017206D" w:rsidRDefault="005B2F5F" w:rsidP="00F14F81">
            <w:pPr>
              <w:spacing w:after="0"/>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de un sortiment vast de produse de uz fitosanitar și fertilizanți omologate, eficiente și de ultimă generație, cu impact redus asupra sănătății omului și mediului. </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Al patrulea grup - Ministerul Agriculturii, Dezvoltării Regionale și Mediului, responsabil de transpunerea conformă a normelor art.75 din Regulamentul (UE) nr.1107/2009, în vederea desemnării unei autorități competente (Centrul de Stat), pentru îndeplinirea obligațiilor stabilite în regulamentul UE. </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Al cincilea grup îl constituie colectivul care optează pentru menținerea Centrului de stat și a colectivului în condițiile în care autoritatea competentă desemnată conform actului UE menționat, trebuie să dispună de personal suficient cu o calificare și experiență corespunzătoare, pentru a îndeplini în mod eficient și concret obligațiile stabilite în regulament. Pentru transparență, Comisia Europeană publică pe site-ul său oficial și actualizează lista autorităților competente, desemnate de statul membru. </w:t>
            </w:r>
          </w:p>
          <w:p w:rsidR="005B2F5F" w:rsidRPr="0017206D" w:rsidRDefault="005B2F5F" w:rsidP="00F14F81">
            <w:pPr>
              <w:spacing w:after="0"/>
              <w:ind w:firstLine="884"/>
              <w:jc w:val="both"/>
              <w:rPr>
                <w:rFonts w:ascii="Times New Roman" w:eastAsia="Calibri" w:hAnsi="Times New Roman" w:cs="Times New Roman"/>
                <w:sz w:val="24"/>
                <w:szCs w:val="24"/>
              </w:rPr>
            </w:pPr>
            <w:r w:rsidRPr="0017206D">
              <w:rPr>
                <w:rFonts w:ascii="Times New Roman" w:eastAsia="Calibri" w:hAnsi="Times New Roman" w:cs="Times New Roman"/>
                <w:sz w:val="24"/>
                <w:szCs w:val="24"/>
              </w:rPr>
              <w:t xml:space="preserve">Al șaselea grup îl constituie instituțiile științifice care în activitatea de cercetare îmbină partea teoretică de cercetare cu cea practică în vederea elaborării </w:t>
            </w:r>
          </w:p>
          <w:p w:rsidR="005B2F5F" w:rsidRPr="0017206D" w:rsidRDefault="005B2F5F" w:rsidP="00F14F81">
            <w:pPr>
              <w:spacing w:after="0"/>
              <w:ind w:firstLine="34"/>
              <w:jc w:val="both"/>
              <w:rPr>
                <w:rFonts w:ascii="Times New Roman" w:eastAsia="Times New Roman" w:hAnsi="Times New Roman" w:cs="Times New Roman"/>
                <w:sz w:val="24"/>
                <w:szCs w:val="24"/>
                <w:lang w:eastAsia="ru-RU"/>
              </w:rPr>
            </w:pPr>
            <w:r w:rsidRPr="0017206D">
              <w:rPr>
                <w:rFonts w:ascii="Times New Roman" w:eastAsia="Calibri" w:hAnsi="Times New Roman" w:cs="Times New Roman"/>
                <w:bCs/>
                <w:sz w:val="24"/>
                <w:szCs w:val="24"/>
                <w:lang w:eastAsia="ja-JP"/>
              </w:rPr>
              <w:t xml:space="preserve">recomandărilor de aplicate inofensivă a produselor fitosanitare. </w:t>
            </w:r>
            <w:r w:rsidRPr="0017206D">
              <w:rPr>
                <w:rFonts w:ascii="Times New Roman" w:eastAsia="Times New Roman" w:hAnsi="Times New Roman" w:cs="Times New Roman"/>
                <w:sz w:val="24"/>
                <w:szCs w:val="24"/>
                <w:lang w:eastAsia="ru-RU"/>
              </w:rPr>
              <w:t> </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t>b) Explicaţi succint cum (prin ce metode) s-a asigurat consultarea adecvată a părţilor</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Varianta propusă a proiectului a fost consultată cu specialiștii Agenţiei Naţionale pentru Siguranţa Alimentelor, Centrului de Stat pentru Atestarea și Omologarea Produselor de Uz Fitosanitar și a Fertilizanților;</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Reprezentanții oficiali în Republica Moldova a companiilor producătoare de pesticide </w:t>
            </w:r>
            <w:r w:rsidRPr="0017206D">
              <w:rPr>
                <w:rFonts w:ascii="Times New Roman" w:eastAsia="Times New Roman" w:hAnsi="Times New Roman" w:cs="Times New Roman"/>
                <w:sz w:val="24"/>
                <w:szCs w:val="24"/>
                <w:lang w:eastAsia="ru-RU"/>
              </w:rPr>
              <w:lastRenderedPageBreak/>
              <w:t xml:space="preserve">Bayer, </w:t>
            </w:r>
            <w:proofErr w:type="spellStart"/>
            <w:r w:rsidRPr="0017206D">
              <w:rPr>
                <w:rFonts w:ascii="Times New Roman" w:eastAsia="Times New Roman" w:hAnsi="Times New Roman" w:cs="Times New Roman"/>
                <w:sz w:val="24"/>
                <w:szCs w:val="24"/>
                <w:lang w:eastAsia="ru-RU"/>
              </w:rPr>
              <w:t>Basf</w:t>
            </w:r>
            <w:proofErr w:type="spellEnd"/>
            <w:r w:rsidRPr="0017206D">
              <w:rPr>
                <w:rFonts w:ascii="Times New Roman" w:eastAsia="Times New Roman" w:hAnsi="Times New Roman" w:cs="Times New Roman"/>
                <w:sz w:val="24"/>
                <w:szCs w:val="24"/>
                <w:lang w:eastAsia="ru-RU"/>
              </w:rPr>
              <w:t xml:space="preserve">, </w:t>
            </w:r>
            <w:proofErr w:type="spellStart"/>
            <w:r w:rsidRPr="0017206D">
              <w:rPr>
                <w:rFonts w:ascii="Times New Roman" w:eastAsia="Times New Roman" w:hAnsi="Times New Roman" w:cs="Times New Roman"/>
                <w:sz w:val="24"/>
                <w:szCs w:val="24"/>
                <w:lang w:eastAsia="ru-RU"/>
              </w:rPr>
              <w:t>Lab</w:t>
            </w:r>
            <w:proofErr w:type="spellEnd"/>
            <w:r w:rsidRPr="0017206D">
              <w:rPr>
                <w:rFonts w:ascii="Times New Roman" w:eastAsia="Times New Roman" w:hAnsi="Times New Roman" w:cs="Times New Roman"/>
                <w:sz w:val="24"/>
                <w:szCs w:val="24"/>
                <w:lang w:eastAsia="ru-RU"/>
              </w:rPr>
              <w:t xml:space="preserve"> </w:t>
            </w:r>
            <w:proofErr w:type="spellStart"/>
            <w:r w:rsidRPr="0017206D">
              <w:rPr>
                <w:rFonts w:ascii="Times New Roman" w:eastAsia="Times New Roman" w:hAnsi="Times New Roman" w:cs="Times New Roman"/>
                <w:sz w:val="24"/>
                <w:szCs w:val="24"/>
                <w:lang w:eastAsia="ru-RU"/>
              </w:rPr>
              <w:t>Sanigene</w:t>
            </w:r>
            <w:proofErr w:type="spellEnd"/>
            <w:r w:rsidRPr="0017206D">
              <w:rPr>
                <w:rFonts w:ascii="Times New Roman" w:eastAsia="Times New Roman" w:hAnsi="Times New Roman" w:cs="Times New Roman"/>
                <w:sz w:val="24"/>
                <w:szCs w:val="24"/>
                <w:lang w:eastAsia="ru-RU"/>
              </w:rPr>
              <w:t xml:space="preserve"> Limited, </w:t>
            </w:r>
            <w:proofErr w:type="spellStart"/>
            <w:r w:rsidRPr="0017206D">
              <w:rPr>
                <w:rFonts w:ascii="Times New Roman" w:eastAsia="Times New Roman" w:hAnsi="Times New Roman" w:cs="Times New Roman"/>
                <w:sz w:val="24"/>
                <w:szCs w:val="24"/>
                <w:lang w:eastAsia="ru-RU"/>
              </w:rPr>
              <w:t>Singenta</w:t>
            </w:r>
            <w:proofErr w:type="spellEnd"/>
            <w:r w:rsidRPr="0017206D">
              <w:rPr>
                <w:rFonts w:ascii="Times New Roman" w:eastAsia="Times New Roman" w:hAnsi="Times New Roman" w:cs="Times New Roman"/>
                <w:sz w:val="24"/>
                <w:szCs w:val="24"/>
                <w:lang w:eastAsia="ru-RU"/>
              </w:rPr>
              <w:t>;</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Reprezentanții distribuitorilor locali de pesticide C.Î. </w:t>
            </w:r>
            <w:proofErr w:type="spellStart"/>
            <w:r w:rsidRPr="0017206D">
              <w:rPr>
                <w:rFonts w:ascii="Times New Roman" w:eastAsia="Times New Roman" w:hAnsi="Times New Roman" w:cs="Times New Roman"/>
                <w:sz w:val="24"/>
                <w:szCs w:val="24"/>
                <w:lang w:eastAsia="ru-RU"/>
              </w:rPr>
              <w:t>Agrostoc</w:t>
            </w:r>
            <w:proofErr w:type="spellEnd"/>
            <w:r w:rsidRPr="0017206D">
              <w:rPr>
                <w:rFonts w:ascii="Times New Roman" w:eastAsia="Times New Roman" w:hAnsi="Times New Roman" w:cs="Times New Roman"/>
                <w:sz w:val="24"/>
                <w:szCs w:val="24"/>
                <w:lang w:eastAsia="ru-RU"/>
              </w:rPr>
              <w:t xml:space="preserve"> S.R.L., S.A. ”Fertilitatea Chișinău”, </w:t>
            </w:r>
            <w:proofErr w:type="spellStart"/>
            <w:r w:rsidRPr="0017206D">
              <w:rPr>
                <w:rFonts w:ascii="Times New Roman" w:eastAsia="Times New Roman" w:hAnsi="Times New Roman" w:cs="Times New Roman"/>
                <w:sz w:val="24"/>
                <w:szCs w:val="24"/>
                <w:lang w:eastAsia="ru-RU"/>
              </w:rPr>
              <w:t>Bioprotect</w:t>
            </w:r>
            <w:proofErr w:type="spellEnd"/>
            <w:r w:rsidRPr="0017206D">
              <w:rPr>
                <w:rFonts w:ascii="Times New Roman" w:eastAsia="Times New Roman" w:hAnsi="Times New Roman" w:cs="Times New Roman"/>
                <w:sz w:val="24"/>
                <w:szCs w:val="24"/>
                <w:lang w:eastAsia="ru-RU"/>
              </w:rPr>
              <w:t xml:space="preserve"> SRL.</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Totodată, pentru consultarea proiectului, la data de 11.10.2019, MADRM a organizat o ședință de lucru cu participarea reprezentanților Cancelariei de Stat, MADRM, CIR, ANSA, Centrului de Stat, a mediului de afaceri în domeniu, participanți 21 persoane. </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În cadrul ședinței a fost expusă opinia  mediului de afaceri, colectivului Centrului de Stat, Ministerului Agriculturii, Dezvoltării Regionale şi Mediului, distribuitorilor locali (reflectată în procesul verbal din 11.10.2019), care unanim susțin elaborarea și promovarea proiectului propus, ce prevede menținerea Centrului de Stat ca entitate separată în subordinea MADRM, având drept exemplu reorganizările eșuate din țările vecine (Ucraina și Federația Rusă), care s-au soldat cu distrugerea unor astfel de structuri.</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sz w:val="24"/>
                <w:szCs w:val="24"/>
              </w:rPr>
              <w:t xml:space="preserve">Pentru promovarea proiectului dat, </w:t>
            </w:r>
            <w:r w:rsidRPr="0017206D">
              <w:rPr>
                <w:rFonts w:ascii="Times New Roman" w:hAnsi="Times New Roman"/>
                <w:sz w:val="24"/>
                <w:szCs w:val="24"/>
              </w:rPr>
              <w:t>în conformitate cu cerințele pct. 11, 2) și 2</w:t>
            </w:r>
            <w:r w:rsidRPr="0017206D">
              <w:rPr>
                <w:rFonts w:ascii="Times New Roman" w:hAnsi="Times New Roman"/>
                <w:sz w:val="24"/>
                <w:szCs w:val="24"/>
                <w:vertAlign w:val="superscript"/>
              </w:rPr>
              <w:t>1</w:t>
            </w:r>
            <w:r w:rsidRPr="0017206D">
              <w:rPr>
                <w:rFonts w:ascii="Times New Roman" w:hAnsi="Times New Roman"/>
                <w:sz w:val="24"/>
                <w:szCs w:val="24"/>
              </w:rPr>
              <w:t xml:space="preserve">), lit. a) din Metodologia de analiză a impactului în procesul de fundamentare a proiectelor de acte normative, aprobată prin Hotărârea Guvernului nr. 23/2019, </w:t>
            </w:r>
            <w:r w:rsidRPr="0017206D">
              <w:rPr>
                <w:rFonts w:ascii="Times New Roman" w:eastAsia="Times New Roman" w:hAnsi="Times New Roman"/>
                <w:sz w:val="24"/>
                <w:szCs w:val="24"/>
              </w:rPr>
              <w:t xml:space="preserve">a fost elaborată Analiza Impactului de Reglementare, examinată la ședința Grupului de lucru din data de 30 septembrie 2019 </w:t>
            </w:r>
            <w:r w:rsidRPr="0017206D">
              <w:rPr>
                <w:rFonts w:ascii="Times New Roman" w:eastAsia="Times New Roman" w:hAnsi="Times New Roman"/>
                <w:i/>
                <w:sz w:val="24"/>
                <w:szCs w:val="24"/>
              </w:rPr>
              <w:t>(proces verbal nr. 20)</w:t>
            </w:r>
            <w:r w:rsidRPr="0017206D">
              <w:rPr>
                <w:rFonts w:ascii="Times New Roman" w:eastAsia="Times New Roman" w:hAnsi="Times New Roman"/>
                <w:sz w:val="24"/>
                <w:szCs w:val="24"/>
              </w:rPr>
              <w:t xml:space="preserve"> unde s-a decis că, în cazul în care proiectul nu prevede norme ce reglementează activitatea de întreprinzător, nu este necesară examinarea proiectului în cadrul Grupului de lucru.</w:t>
            </w:r>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Pentru asigurarea transparenței decizionale, consultarea cu publicul va avea loc prin expunerea/publicarea Anunțului, AIR- lui, proiectului de act normativ şi a notei informative pe pagina web a Ministerului Agriculturii, Dezvoltării Regionale şi Mediului, la compartimentul ”Transparența decizională”, rubrica ”Proiecte de documente” și pe </w:t>
            </w:r>
            <w:hyperlink r:id="rId9" w:history="1">
              <w:r w:rsidRPr="0017206D">
                <w:rPr>
                  <w:rStyle w:val="a3"/>
                  <w:rFonts w:ascii="Times New Roman" w:eastAsia="Times New Roman" w:hAnsi="Times New Roman" w:cs="Times New Roman"/>
                  <w:color w:val="auto"/>
                  <w:sz w:val="24"/>
                  <w:szCs w:val="24"/>
                  <w:lang w:eastAsia="ru-RU"/>
                </w:rPr>
                <w:t>http://www.particip.gov.md</w:t>
              </w:r>
            </w:hyperlink>
          </w:p>
          <w:p w:rsidR="005B2F5F" w:rsidRPr="0017206D" w:rsidRDefault="005B2F5F" w:rsidP="00F14F81">
            <w:pPr>
              <w:spacing w:after="0"/>
              <w:ind w:firstLine="567"/>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Proiectul va fi avizat de ministerele interesate și consultat cu deținătorii omologării, reprezentanții oficiali ai Companiilor producătoare de pesticide în Republica Moldova, cu agenții economici importatori ai pesticidelor, societatea civilă, ONG, alți subiecți interesați.</w:t>
            </w:r>
          </w:p>
        </w:tc>
      </w:tr>
      <w:tr w:rsidR="005B2F5F" w:rsidRPr="0017206D" w:rsidTr="00F14F81">
        <w:trPr>
          <w:jc w:val="center"/>
        </w:trPr>
        <w:tc>
          <w:tcPr>
            <w:tcW w:w="0" w:type="auto"/>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F41BFA" w:rsidRDefault="005B2F5F" w:rsidP="00F14F81">
            <w:pPr>
              <w:spacing w:after="0"/>
              <w:jc w:val="both"/>
              <w:rPr>
                <w:rFonts w:ascii="Times New Roman" w:eastAsia="Times New Roman" w:hAnsi="Times New Roman" w:cs="Times New Roman"/>
                <w:sz w:val="20"/>
                <w:szCs w:val="20"/>
                <w:lang w:eastAsia="ru-RU"/>
              </w:rPr>
            </w:pPr>
            <w:r w:rsidRPr="00F41BFA">
              <w:rPr>
                <w:rFonts w:ascii="Times New Roman" w:eastAsia="Times New Roman" w:hAnsi="Times New Roman" w:cs="Times New Roman"/>
                <w:sz w:val="20"/>
                <w:szCs w:val="20"/>
                <w:lang w:eastAsia="ru-RU"/>
              </w:rPr>
              <w:lastRenderedPageBreak/>
              <w:t>c) Expuneţi succint poziţia fiecărei entităţi consultate faţă de documentul de analiză a impactului şi/sau intervenţia propusă (se expune poziţia a cel puţin unui exponent din fiecare grup de interese identificat).</w:t>
            </w:r>
          </w:p>
        </w:tc>
        <w:tc>
          <w:tcPr>
            <w:tcW w:w="1021" w:type="pct"/>
            <w:gridSpan w:val="2"/>
            <w:tcBorders>
              <w:top w:val="single" w:sz="6" w:space="0" w:color="000000"/>
              <w:left w:val="single" w:sz="6" w:space="0" w:color="000000"/>
              <w:bottom w:val="nil"/>
              <w:right w:val="single" w:sz="6" w:space="0" w:color="000000"/>
            </w:tcBorders>
            <w:tcMar>
              <w:top w:w="15" w:type="dxa"/>
              <w:left w:w="45" w:type="dxa"/>
              <w:bottom w:w="15" w:type="dxa"/>
              <w:right w:w="45" w:type="dxa"/>
            </w:tcMar>
            <w:hideMark/>
          </w:tcPr>
          <w:p w:rsidR="005B2F5F" w:rsidRPr="0017206D" w:rsidRDefault="005B2F5F" w:rsidP="00F14F81">
            <w:pPr>
              <w:spacing w:after="0"/>
              <w:jc w:val="both"/>
              <w:rPr>
                <w:rFonts w:ascii="Times New Roman" w:eastAsia="Times New Roman" w:hAnsi="Times New Roman" w:cs="Times New Roman"/>
                <w:sz w:val="24"/>
                <w:szCs w:val="24"/>
                <w:lang w:eastAsia="ru-RU"/>
              </w:rPr>
            </w:pPr>
          </w:p>
        </w:tc>
      </w:tr>
      <w:tr w:rsidR="005B2F5F" w:rsidRPr="0017206D" w:rsidTr="00F14F81">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xml:space="preserve">Reprezentanții mediului de afaceri, colectivului Centrului de Stat, Ministerului Agriculturii, Dezvoltării Regionale şi Mediului, distribuitorilor locali, unanim susțin elaborarea și promovarea </w:t>
            </w:r>
            <w:r w:rsidRPr="0017206D">
              <w:rPr>
                <w:rFonts w:ascii="Times New Roman" w:eastAsia="Times New Roman" w:hAnsi="Times New Roman" w:cs="Times New Roman"/>
                <w:b/>
                <w:sz w:val="24"/>
                <w:szCs w:val="24"/>
                <w:lang w:eastAsia="ru-RU"/>
              </w:rPr>
              <w:t>Opțiunii II</w:t>
            </w:r>
            <w:r w:rsidRPr="0017206D">
              <w:rPr>
                <w:rFonts w:ascii="Times New Roman" w:eastAsia="Times New Roman" w:hAnsi="Times New Roman" w:cs="Times New Roman"/>
                <w:sz w:val="24"/>
                <w:szCs w:val="24"/>
                <w:lang w:eastAsia="ru-RU"/>
              </w:rPr>
              <w:t xml:space="preserve"> care prevede menținerea Centrului de Stat ca entitate separată în subordinea MADRM. Părțile implicate atestă:</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lipsa motivului argumentat al unei astfel de reorganizări inițiate conform HG nr. 600/2018;</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”restructurare de dragul restructurării”;</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lipsa consultării subiecților cu tangență în domeniu;</w:t>
            </w:r>
          </w:p>
          <w:p w:rsidR="005B2F5F" w:rsidRPr="0017206D" w:rsidRDefault="005B2F5F" w:rsidP="00F14F81">
            <w:pPr>
              <w:spacing w:after="0"/>
              <w:ind w:firstLine="851"/>
              <w:jc w:val="both"/>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 promovarea reorganizării instituționale fără includerea specialistului MADRM, în grupul de lucru (</w:t>
            </w:r>
            <w:r w:rsidRPr="0017206D">
              <w:rPr>
                <w:rFonts w:ascii="Times New Roman" w:eastAsia="Times New Roman" w:hAnsi="Times New Roman" w:cs="Times New Roman"/>
                <w:i/>
                <w:sz w:val="24"/>
                <w:szCs w:val="24"/>
                <w:lang w:eastAsia="ru-RU"/>
              </w:rPr>
              <w:t xml:space="preserve">Ministerul fiind afectat direct de reorganizările produse). </w:t>
            </w:r>
          </w:p>
        </w:tc>
      </w:tr>
      <w:tr w:rsidR="005B2F5F" w:rsidRPr="0017206D" w:rsidTr="00F14F81">
        <w:trPr>
          <w:gridAfter w:val="1"/>
          <w:wAfter w:w="399" w:type="pct"/>
          <w:jc w:val="center"/>
        </w:trPr>
        <w:tc>
          <w:tcPr>
            <w:tcW w:w="4601" w:type="pct"/>
            <w:gridSpan w:val="5"/>
            <w:tcBorders>
              <w:top w:val="nil"/>
              <w:left w:val="nil"/>
              <w:bottom w:val="nil"/>
              <w:right w:val="nil"/>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b/>
                <w:bCs/>
                <w:sz w:val="24"/>
                <w:szCs w:val="24"/>
                <w:lang w:eastAsia="ru-RU"/>
              </w:rPr>
            </w:pPr>
          </w:p>
          <w:p w:rsidR="005B2F5F" w:rsidRPr="0017206D" w:rsidRDefault="005B2F5F" w:rsidP="00F14F81">
            <w:pPr>
              <w:spacing w:after="0"/>
              <w:jc w:val="right"/>
              <w:rPr>
                <w:rFonts w:ascii="Times New Roman" w:eastAsia="Times New Roman" w:hAnsi="Times New Roman" w:cs="Times New Roman"/>
                <w:b/>
                <w:bCs/>
                <w:sz w:val="24"/>
                <w:szCs w:val="24"/>
                <w:lang w:eastAsia="ru-RU"/>
              </w:rPr>
            </w:pPr>
          </w:p>
          <w:p w:rsidR="005B2F5F" w:rsidRDefault="005B2F5F" w:rsidP="00F14F81">
            <w:pPr>
              <w:spacing w:after="0"/>
              <w:jc w:val="right"/>
              <w:rPr>
                <w:rFonts w:ascii="Times New Roman" w:eastAsia="Times New Roman" w:hAnsi="Times New Roman" w:cs="Times New Roman"/>
                <w:b/>
                <w:bCs/>
                <w:sz w:val="24"/>
                <w:szCs w:val="24"/>
                <w:lang w:eastAsia="ru-RU"/>
              </w:rPr>
            </w:pPr>
          </w:p>
          <w:p w:rsidR="005B2F5F" w:rsidRDefault="005B2F5F" w:rsidP="00F14F81">
            <w:pPr>
              <w:spacing w:after="0"/>
              <w:jc w:val="right"/>
              <w:rPr>
                <w:rFonts w:ascii="Times New Roman" w:eastAsia="Times New Roman" w:hAnsi="Times New Roman" w:cs="Times New Roman"/>
                <w:b/>
                <w:bCs/>
                <w:sz w:val="24"/>
                <w:szCs w:val="24"/>
                <w:lang w:eastAsia="ru-RU"/>
              </w:rPr>
            </w:pPr>
          </w:p>
          <w:p w:rsidR="005B2F5F" w:rsidRDefault="005B2F5F" w:rsidP="00F14F81">
            <w:pPr>
              <w:spacing w:after="0"/>
              <w:jc w:val="right"/>
              <w:rPr>
                <w:rFonts w:ascii="Times New Roman" w:eastAsia="Times New Roman" w:hAnsi="Times New Roman" w:cs="Times New Roman"/>
                <w:b/>
                <w:bCs/>
                <w:sz w:val="24"/>
                <w:szCs w:val="24"/>
                <w:lang w:eastAsia="ru-RU"/>
              </w:rPr>
            </w:pPr>
          </w:p>
          <w:p w:rsidR="005B2F5F" w:rsidRDefault="005B2F5F" w:rsidP="00F14F81">
            <w:pPr>
              <w:spacing w:after="0"/>
              <w:jc w:val="right"/>
              <w:rPr>
                <w:rFonts w:ascii="Times New Roman" w:eastAsia="Times New Roman" w:hAnsi="Times New Roman" w:cs="Times New Roman"/>
                <w:b/>
                <w:bCs/>
                <w:sz w:val="24"/>
                <w:szCs w:val="24"/>
                <w:lang w:eastAsia="ru-RU"/>
              </w:rPr>
            </w:pPr>
          </w:p>
          <w:p w:rsidR="005B2F5F" w:rsidRDefault="005B2F5F" w:rsidP="00F14F81">
            <w:pPr>
              <w:spacing w:after="0"/>
              <w:jc w:val="right"/>
              <w:rPr>
                <w:rFonts w:ascii="Times New Roman" w:eastAsia="Times New Roman" w:hAnsi="Times New Roman" w:cs="Times New Roman"/>
                <w:b/>
                <w:bCs/>
                <w:sz w:val="24"/>
                <w:szCs w:val="24"/>
                <w:lang w:eastAsia="ru-RU"/>
              </w:rPr>
            </w:pPr>
          </w:p>
          <w:p w:rsidR="005B2F5F" w:rsidRPr="0017206D" w:rsidRDefault="005B2F5F" w:rsidP="00F14F81">
            <w:pPr>
              <w:spacing w:after="0"/>
              <w:jc w:val="right"/>
              <w:rPr>
                <w:rFonts w:ascii="Times New Roman" w:eastAsia="Times New Roman" w:hAnsi="Times New Roman" w:cs="Times New Roman"/>
                <w:b/>
                <w:bCs/>
                <w:sz w:val="24"/>
                <w:szCs w:val="24"/>
                <w:lang w:eastAsia="ru-RU"/>
              </w:rPr>
            </w:pPr>
          </w:p>
          <w:p w:rsidR="005B2F5F" w:rsidRPr="0017206D" w:rsidRDefault="005B2F5F" w:rsidP="00F14F81">
            <w:pPr>
              <w:spacing w:after="0"/>
              <w:jc w:val="right"/>
              <w:rPr>
                <w:rFonts w:ascii="Times New Roman" w:eastAsia="Times New Roman" w:hAnsi="Times New Roman" w:cs="Times New Roman"/>
                <w:b/>
                <w:bCs/>
                <w:sz w:val="24"/>
                <w:szCs w:val="24"/>
                <w:lang w:eastAsia="ru-RU"/>
              </w:rPr>
            </w:pPr>
          </w:p>
          <w:p w:rsidR="005B2F5F" w:rsidRPr="0017206D" w:rsidRDefault="005B2F5F" w:rsidP="00F14F81">
            <w:pPr>
              <w:spacing w:after="0"/>
              <w:jc w:val="right"/>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Anexă</w:t>
            </w:r>
          </w:p>
          <w:p w:rsidR="005B2F5F" w:rsidRPr="0017206D" w:rsidRDefault="005B2F5F" w:rsidP="00F14F81">
            <w:pPr>
              <w:spacing w:after="0"/>
              <w:jc w:val="center"/>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Tabel pentru identificarea impacturilor</w:t>
            </w:r>
          </w:p>
          <w:p w:rsidR="005B2F5F" w:rsidRPr="0017206D" w:rsidRDefault="005B2F5F" w:rsidP="00F14F81">
            <w:pPr>
              <w:spacing w:after="0"/>
              <w:jc w:val="center"/>
              <w:rPr>
                <w:rFonts w:ascii="Times New Roman" w:eastAsia="Times New Roman" w:hAnsi="Times New Roman" w:cs="Times New Roman"/>
                <w:b/>
                <w:bCs/>
                <w:sz w:val="24"/>
                <w:szCs w:val="24"/>
                <w:lang w:eastAsia="ru-RU"/>
              </w:rPr>
            </w:pPr>
          </w:p>
        </w:tc>
      </w:tr>
      <w:tr w:rsidR="005B2F5F" w:rsidRPr="0017206D" w:rsidTr="00F14F81">
        <w:trPr>
          <w:gridAfter w:val="1"/>
          <w:wAfter w:w="399" w:type="pct"/>
          <w:jc w:val="center"/>
        </w:trPr>
        <w:tc>
          <w:tcPr>
            <w:tcW w:w="4601" w:type="pct"/>
            <w:gridSpan w:val="5"/>
            <w:tcBorders>
              <w:top w:val="nil"/>
              <w:left w:val="nil"/>
              <w:bottom w:val="nil"/>
              <w:right w:val="nil"/>
            </w:tcBorders>
            <w:tcMar>
              <w:top w:w="15" w:type="dxa"/>
              <w:left w:w="45" w:type="dxa"/>
              <w:bottom w:w="15" w:type="dxa"/>
              <w:right w:w="45" w:type="dxa"/>
            </w:tcMar>
          </w:tcPr>
          <w:p w:rsidR="005B2F5F" w:rsidRPr="0017206D" w:rsidRDefault="005B2F5F" w:rsidP="00F14F81">
            <w:pPr>
              <w:spacing w:after="0"/>
              <w:rPr>
                <w:rFonts w:ascii="Times New Roman" w:eastAsia="Times New Roman" w:hAnsi="Times New Roman" w:cs="Times New Roman"/>
                <w:b/>
                <w:bCs/>
                <w:sz w:val="24"/>
                <w:szCs w:val="24"/>
                <w:lang w:eastAsia="ru-RU"/>
              </w:rPr>
            </w:pPr>
          </w:p>
        </w:tc>
      </w:tr>
      <w:tr w:rsidR="005B2F5F" w:rsidRPr="0017206D" w:rsidTr="00F14F81">
        <w:trPr>
          <w:gridAfter w:val="1"/>
          <w:wAfter w:w="399" w:type="pct"/>
          <w:jc w:val="center"/>
        </w:trPr>
        <w:tc>
          <w:tcPr>
            <w:tcW w:w="4601" w:type="pct"/>
            <w:gridSpan w:val="5"/>
            <w:tcBorders>
              <w:top w:val="nil"/>
              <w:left w:val="nil"/>
              <w:bottom w:val="nil"/>
              <w:right w:val="nil"/>
            </w:tcBorders>
            <w:tcMar>
              <w:top w:w="15" w:type="dxa"/>
              <w:left w:w="45" w:type="dxa"/>
              <w:bottom w:w="15" w:type="dxa"/>
              <w:right w:w="45" w:type="dxa"/>
            </w:tcMar>
          </w:tcPr>
          <w:p w:rsidR="005B2F5F" w:rsidRPr="0017206D" w:rsidRDefault="005B2F5F" w:rsidP="00F14F81">
            <w:pPr>
              <w:spacing w:after="0"/>
              <w:rPr>
                <w:rFonts w:ascii="Times New Roman" w:eastAsia="Times New Roman" w:hAnsi="Times New Roman" w:cs="Times New Roman"/>
                <w:b/>
                <w:bCs/>
                <w:sz w:val="24"/>
                <w:szCs w:val="24"/>
                <w:lang w:eastAsia="ru-RU"/>
              </w:rPr>
            </w:pPr>
          </w:p>
        </w:tc>
      </w:tr>
      <w:tr w:rsidR="005B2F5F" w:rsidRPr="0017206D" w:rsidTr="00F14F81">
        <w:trPr>
          <w:gridAfter w:val="1"/>
          <w:wAfter w:w="399" w:type="pct"/>
          <w:jc w:val="center"/>
        </w:trPr>
        <w:tc>
          <w:tcPr>
            <w:tcW w:w="202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Categorii de impact</w:t>
            </w:r>
          </w:p>
        </w:tc>
        <w:tc>
          <w:tcPr>
            <w:tcW w:w="2573"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b/>
                <w:bCs/>
                <w:sz w:val="24"/>
                <w:szCs w:val="24"/>
                <w:lang w:eastAsia="ru-RU"/>
              </w:rPr>
            </w:pPr>
            <w:r w:rsidRPr="0017206D">
              <w:rPr>
                <w:rFonts w:ascii="Times New Roman" w:eastAsia="Times New Roman" w:hAnsi="Times New Roman" w:cs="Times New Roman"/>
                <w:b/>
                <w:bCs/>
                <w:sz w:val="24"/>
                <w:szCs w:val="24"/>
                <w:lang w:eastAsia="ru-RU"/>
              </w:rPr>
              <w:t>Punctaj atribuit</w:t>
            </w: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i/>
                <w:iCs/>
                <w:sz w:val="24"/>
                <w:szCs w:val="24"/>
                <w:lang w:eastAsia="ru-RU"/>
              </w:rPr>
            </w:pPr>
            <w:r w:rsidRPr="0017206D">
              <w:rPr>
                <w:rFonts w:ascii="Times New Roman" w:eastAsia="Times New Roman" w:hAnsi="Times New Roman" w:cs="Times New Roman"/>
                <w:i/>
                <w:iCs/>
                <w:sz w:val="24"/>
                <w:szCs w:val="24"/>
                <w:lang w:eastAsia="ru-RU"/>
              </w:rPr>
              <w:t>Opţiunea propusă</w:t>
            </w:r>
          </w:p>
          <w:p w:rsidR="005B2F5F" w:rsidRPr="0017206D" w:rsidRDefault="005B2F5F" w:rsidP="00F14F81">
            <w:pPr>
              <w:spacing w:after="0"/>
              <w:rPr>
                <w:rFonts w:ascii="Times New Roman" w:eastAsia="Times New Roman" w:hAnsi="Times New Roman" w:cs="Times New Roman"/>
                <w:b/>
                <w:sz w:val="24"/>
                <w:szCs w:val="24"/>
                <w:lang w:eastAsia="ru-RU"/>
              </w:rPr>
            </w:pPr>
            <w:r w:rsidRPr="0017206D">
              <w:rPr>
                <w:rFonts w:ascii="Times New Roman" w:eastAsia="Times New Roman" w:hAnsi="Times New Roman" w:cs="Times New Roman"/>
                <w:b/>
                <w:iCs/>
                <w:sz w:val="24"/>
                <w:szCs w:val="24"/>
                <w:lang w:eastAsia="ru-RU"/>
              </w:rPr>
              <w:t>(PHG)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i/>
                <w:iCs/>
                <w:sz w:val="24"/>
                <w:szCs w:val="24"/>
                <w:lang w:eastAsia="ru-RU"/>
              </w:rPr>
              <w:t xml:space="preserve">Opţiunea alterativă 1 </w:t>
            </w:r>
            <w:r w:rsidRPr="0017206D">
              <w:rPr>
                <w:rFonts w:ascii="Times New Roman" w:eastAsia="Times New Roman" w:hAnsi="Times New Roman" w:cs="Times New Roman"/>
                <w:b/>
                <w:iCs/>
                <w:sz w:val="24"/>
                <w:szCs w:val="24"/>
                <w:lang w:eastAsia="ru-RU"/>
              </w:rPr>
              <w:t>(a nu face nimic)</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i/>
                <w:iCs/>
                <w:sz w:val="24"/>
                <w:szCs w:val="24"/>
                <w:lang w:eastAsia="ru-RU"/>
              </w:rPr>
              <w:t>Opţiunea alterativă 2</w:t>
            </w:r>
          </w:p>
        </w:tc>
      </w:tr>
      <w:tr w:rsidR="005B2F5F" w:rsidRPr="0017206D" w:rsidTr="00F14F81">
        <w:trPr>
          <w:gridAfter w:val="1"/>
          <w:wAfter w:w="399" w:type="pct"/>
          <w:jc w:val="center"/>
        </w:trPr>
        <w:tc>
          <w:tcPr>
            <w:tcW w:w="460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Economic</w:t>
            </w: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costurile desfăşurării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povara administrativă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fluxurile comerciale şi investiţionale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competitivitatea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activitatea diferitor categorii de întreprinderi mici şi mijlocii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concurenţa pe piaţă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activitatea de inovare şi cercetare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veniturile şi cheltuielile publice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cadrul instituţional al autorităţilor publice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alegerea, calitatea şi preţurile pentru consumatori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bunăstarea gospodăriilor casnice şi a cetăţenilor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situaţia social-economică în anumite regiuni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situaţia macroeconomică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alte aspecte economice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460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Social</w:t>
            </w: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gradul de ocupare a forţei de muncă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nivelul de salarizare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condiţiile şi organizarea muncii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sănătatea şi securitatea muncii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formarea profesională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inegalitatea şi distribuţia veniturilor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lastRenderedPageBreak/>
              <w:t>nivelul veniturilor populaţiei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nivelul sărăciei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la bunuri şi servicii de bază, în special pentru persoanele social-vulnerabile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diversitatea culturală şi lingvistică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partidele politice şi organizaţiile civice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sănătatea publică, inclusiv mortalitatea şi morbiditatea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modul sănătos de viaţă al populaţiei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nivelul criminalităţii şi securităţii publice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şi calitatea serviciilor de protecţie socială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şi calitatea serviciilor educaţionale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şi calitatea serviciilor medicale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şi calitatea serviciilor publice administrative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nivelul şi calitatea educaţiei populaţiei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conservarea patrimoniului cultural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populaţiei la resurse culturale şi participarea în manifestaţii culturale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accesul şi participarea populaţiei în activităţi sportive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discriminarea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alte aspecte sociale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460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b/>
                <w:bCs/>
                <w:sz w:val="24"/>
                <w:szCs w:val="24"/>
                <w:lang w:eastAsia="ru-RU"/>
              </w:rPr>
              <w:t>De mediu</w:t>
            </w: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clima, inclusiv emisiile gazelor cu efect de seră şi celor care afectează stratul de ozon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calitatea aerului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calitatea şi cantitatea apei şi resurselor acvatice, inclusiv a apei potabile şi de alt gen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biodiversitatea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flora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lastRenderedPageBreak/>
              <w:t>fauna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peisajele naturale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starea şi resursele solului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producerea şi reciclarea deşeurilor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utilizarea eficientă a resurselor regenerabile şi neregenerabile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consumul şi producţia durabilă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intensitatea energetică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eficienţa şi performanţa energetică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bunăstarea animalelor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riscuri majore pentru mediu (incendii, explozii, accidente etc.)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utilizarea terenurilor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r w:rsidR="005B2F5F" w:rsidRPr="0017206D" w:rsidTr="00F14F81">
        <w:trPr>
          <w:gridAfter w:val="1"/>
          <w:wAfter w:w="399" w:type="pct"/>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alte aspecte de mediu</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r w:rsidRPr="0017206D">
              <w:rPr>
                <w:rFonts w:ascii="Times New Roman" w:eastAsia="Times New Roman" w:hAnsi="Times New Roman" w:cs="Times New Roman"/>
                <w:sz w:val="24"/>
                <w:szCs w:val="24"/>
                <w:lang w:eastAsia="ru-RU"/>
              </w:rPr>
              <w:t>0</w:t>
            </w:r>
          </w:p>
        </w:tc>
        <w:tc>
          <w:tcPr>
            <w:tcW w:w="882"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5B2F5F" w:rsidRPr="0017206D" w:rsidRDefault="005B2F5F" w:rsidP="00F14F81">
            <w:pPr>
              <w:spacing w:after="0"/>
              <w:rPr>
                <w:rFonts w:ascii="Times New Roman" w:eastAsia="Times New Roman" w:hAnsi="Times New Roman" w:cs="Times New Roman"/>
                <w:sz w:val="24"/>
                <w:szCs w:val="24"/>
                <w:lang w:eastAsia="ru-RU"/>
              </w:rPr>
            </w:pPr>
          </w:p>
        </w:tc>
      </w:tr>
    </w:tbl>
    <w:p w:rsidR="005B2F5F" w:rsidRPr="0017206D" w:rsidRDefault="005B2F5F" w:rsidP="005B2F5F">
      <w:pPr>
        <w:jc w:val="center"/>
        <w:rPr>
          <w:rFonts w:ascii="Times New Roman" w:hAnsi="Times New Roman" w:cs="Times New Roman"/>
          <w:b/>
          <w:sz w:val="24"/>
          <w:szCs w:val="24"/>
        </w:rPr>
      </w:pPr>
    </w:p>
    <w:p w:rsidR="005B2F5F" w:rsidRPr="0017206D" w:rsidRDefault="005B2F5F" w:rsidP="005B2F5F">
      <w:pPr>
        <w:jc w:val="center"/>
        <w:rPr>
          <w:rFonts w:ascii="Times New Roman" w:hAnsi="Times New Roman" w:cs="Times New Roman"/>
          <w:b/>
          <w:sz w:val="24"/>
          <w:szCs w:val="24"/>
        </w:rPr>
      </w:pPr>
    </w:p>
    <w:p w:rsidR="005B2F5F" w:rsidRPr="0017206D" w:rsidRDefault="005B2F5F" w:rsidP="005B2F5F">
      <w:pPr>
        <w:rPr>
          <w:rFonts w:ascii="Times New Roman" w:hAnsi="Times New Roman" w:cs="Times New Roman"/>
          <w:sz w:val="24"/>
          <w:szCs w:val="24"/>
        </w:rPr>
      </w:pPr>
    </w:p>
    <w:p w:rsidR="005B2F5F" w:rsidRPr="0017206D" w:rsidRDefault="005B2F5F" w:rsidP="005B2F5F">
      <w:pPr>
        <w:rPr>
          <w:rFonts w:ascii="Times New Roman" w:hAnsi="Times New Roman" w:cs="Times New Roman"/>
          <w:sz w:val="24"/>
          <w:szCs w:val="24"/>
        </w:rPr>
      </w:pPr>
    </w:p>
    <w:p w:rsidR="00CB13CB" w:rsidRPr="005B2F5F" w:rsidRDefault="00556CF1">
      <w:pPr>
        <w:rPr>
          <w:rFonts w:ascii="Times New Roman" w:hAnsi="Times New Roman" w:cs="Times New Roman"/>
          <w:sz w:val="28"/>
          <w:szCs w:val="28"/>
        </w:rPr>
      </w:pPr>
    </w:p>
    <w:sectPr w:rsidR="00CB13CB" w:rsidRPr="005B2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F1329"/>
    <w:multiLevelType w:val="hybridMultilevel"/>
    <w:tmpl w:val="BBDEEBB8"/>
    <w:lvl w:ilvl="0" w:tplc="A2DEC532">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C1"/>
    <w:rsid w:val="000B2E2A"/>
    <w:rsid w:val="001E1034"/>
    <w:rsid w:val="001E3ED1"/>
    <w:rsid w:val="00556CF1"/>
    <w:rsid w:val="005B2F5F"/>
    <w:rsid w:val="006469C1"/>
    <w:rsid w:val="009F49E5"/>
    <w:rsid w:val="00A67A2A"/>
    <w:rsid w:val="00C21E4E"/>
    <w:rsid w:val="00CB5CDD"/>
    <w:rsid w:val="00FA7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5F"/>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B2F5F"/>
    <w:rPr>
      <w:color w:val="0000FF"/>
      <w:u w:val="single"/>
    </w:rPr>
  </w:style>
  <w:style w:type="paragraph" w:styleId="a4">
    <w:name w:val="List Paragraph"/>
    <w:basedOn w:val="a"/>
    <w:uiPriority w:val="34"/>
    <w:qFormat/>
    <w:rsid w:val="005B2F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5F"/>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B2F5F"/>
    <w:rPr>
      <w:color w:val="0000FF"/>
      <w:u w:val="single"/>
    </w:rPr>
  </w:style>
  <w:style w:type="paragraph" w:styleId="a4">
    <w:name w:val="List Paragraph"/>
    <w:basedOn w:val="a"/>
    <w:uiPriority w:val="34"/>
    <w:qFormat/>
    <w:rsid w:val="005B2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sticide.md" TargetMode="External"/><Relationship Id="rId3" Type="http://schemas.microsoft.com/office/2007/relationships/stylesWithEffects" Target="stylesWithEffects.xml"/><Relationship Id="rId7" Type="http://schemas.openxmlformats.org/officeDocument/2006/relationships/hyperlink" Target="mailto:olga.savencov@madrm.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onica.tertea@madrm.gov.m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rticip.gov.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6579</Words>
  <Characters>37504</Characters>
  <Application>Microsoft Office Word</Application>
  <DocSecurity>0</DocSecurity>
  <Lines>312</Lines>
  <Paragraphs>87</Paragraphs>
  <ScaleCrop>false</ScaleCrop>
  <Company/>
  <LinksUpToDate>false</LinksUpToDate>
  <CharactersWithSpaces>43996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Tertea</dc:creator>
  <cp:keywords/>
  <dc:description/>
  <cp:lastModifiedBy>Veronica Tertea</cp:lastModifiedBy>
  <cp:revision>3</cp:revision>
  <dcterms:created xsi:type="dcterms:W3CDTF">2020-11-16T07:29:00Z</dcterms:created>
  <dcterms:modified xsi:type="dcterms:W3CDTF">2020-11-16T09:51:00Z</dcterms:modified>
</cp:coreProperties>
</file>